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7E6AD1"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2226"/>
        <w:gridCol w:w="315"/>
        <w:gridCol w:w="1470"/>
        <w:gridCol w:w="908"/>
        <w:gridCol w:w="179"/>
        <w:gridCol w:w="2246"/>
      </w:tblGrid>
      <w:tr w:rsidR="009D3B04" w:rsidRPr="007E6AD1" w:rsidTr="00524765">
        <w:tc>
          <w:tcPr>
            <w:tcW w:w="9054" w:type="dxa"/>
            <w:gridSpan w:val="7"/>
            <w:tcBorders>
              <w:bottom w:val="single" w:sz="4" w:space="0" w:color="auto"/>
            </w:tcBorders>
          </w:tcPr>
          <w:p w:rsidR="009D3B04" w:rsidRPr="007E6AD1" w:rsidRDefault="009D3B04" w:rsidP="00CC21F3">
            <w:pPr>
              <w:rPr>
                <w:rFonts w:ascii="Arial" w:hAnsi="Arial" w:cs="Arial"/>
                <w:b/>
                <w:color w:val="0F243E" w:themeColor="text2" w:themeShade="80"/>
              </w:rPr>
            </w:pPr>
          </w:p>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PROGRAMA:</w:t>
            </w:r>
            <w:r w:rsidR="006C1616" w:rsidRPr="007E6AD1">
              <w:rPr>
                <w:rFonts w:ascii="Arial" w:hAnsi="Arial" w:cs="Arial"/>
                <w:b/>
                <w:color w:val="0F243E" w:themeColor="text2" w:themeShade="80"/>
              </w:rPr>
              <w:t xml:space="preserve"> DERECHO </w:t>
            </w:r>
          </w:p>
          <w:p w:rsidR="009D3B04" w:rsidRPr="007E6AD1" w:rsidRDefault="009D3B04" w:rsidP="00CC21F3">
            <w:pPr>
              <w:rPr>
                <w:rFonts w:ascii="Arial" w:hAnsi="Arial" w:cs="Arial"/>
                <w:b/>
                <w:color w:val="0F243E" w:themeColor="text2" w:themeShade="80"/>
              </w:rPr>
            </w:pPr>
          </w:p>
        </w:tc>
      </w:tr>
      <w:tr w:rsidR="009D3B04" w:rsidRPr="007E6AD1" w:rsidTr="00524765">
        <w:tc>
          <w:tcPr>
            <w:tcW w:w="9054" w:type="dxa"/>
            <w:gridSpan w:val="7"/>
            <w:tcBorders>
              <w:bottom w:val="single" w:sz="4" w:space="0" w:color="auto"/>
            </w:tcBorders>
            <w:shd w:val="clear" w:color="auto" w:fill="365F91" w:themeFill="accent1" w:themeFillShade="BF"/>
          </w:tcPr>
          <w:p w:rsidR="009D3B04" w:rsidRPr="007E6AD1" w:rsidRDefault="009D3B04" w:rsidP="00CC21F3">
            <w:pPr>
              <w:jc w:val="center"/>
              <w:rPr>
                <w:rFonts w:ascii="Arial" w:hAnsi="Arial" w:cs="Arial"/>
                <w:b/>
                <w:color w:val="0F243E" w:themeColor="text2" w:themeShade="80"/>
              </w:rPr>
            </w:pPr>
          </w:p>
          <w:p w:rsidR="009D3B04" w:rsidRPr="007E6AD1" w:rsidRDefault="009D3B04" w:rsidP="00CC21F3">
            <w:pPr>
              <w:jc w:val="center"/>
              <w:rPr>
                <w:rFonts w:ascii="Arial" w:hAnsi="Arial" w:cs="Arial"/>
                <w:b/>
                <w:color w:val="FFFFFF" w:themeColor="background1"/>
              </w:rPr>
            </w:pPr>
            <w:r w:rsidRPr="007E6AD1">
              <w:rPr>
                <w:rFonts w:ascii="Arial" w:hAnsi="Arial" w:cs="Arial"/>
                <w:b/>
                <w:color w:val="FFFFFF" w:themeColor="background1"/>
              </w:rPr>
              <w:t>DATOS GENERALES</w:t>
            </w:r>
          </w:p>
          <w:p w:rsidR="009D3B04" w:rsidRPr="007E6AD1" w:rsidRDefault="009D3B04" w:rsidP="00CC21F3">
            <w:pPr>
              <w:rPr>
                <w:rFonts w:ascii="Arial" w:hAnsi="Arial" w:cs="Arial"/>
                <w:b/>
                <w:color w:val="0F243E" w:themeColor="text2" w:themeShade="80"/>
              </w:rPr>
            </w:pPr>
          </w:p>
        </w:tc>
      </w:tr>
      <w:tr w:rsidR="009D3B04" w:rsidRPr="007E6AD1" w:rsidTr="00524765">
        <w:tc>
          <w:tcPr>
            <w:tcW w:w="3936" w:type="dxa"/>
            <w:gridSpan w:val="2"/>
            <w:tcBorders>
              <w:top w:val="single" w:sz="4" w:space="0" w:color="auto"/>
              <w:right w:val="single" w:sz="4" w:space="0" w:color="auto"/>
            </w:tcBorders>
          </w:tcPr>
          <w:p w:rsidR="00524765"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COMPONENTE:</w:t>
            </w:r>
            <w:r w:rsidR="006C1616" w:rsidRPr="007E6AD1">
              <w:rPr>
                <w:rFonts w:ascii="Arial" w:hAnsi="Arial" w:cs="Arial"/>
                <w:color w:val="0F243E" w:themeColor="text2" w:themeShade="80"/>
              </w:rPr>
              <w:t xml:space="preserve"> </w:t>
            </w:r>
          </w:p>
          <w:p w:rsidR="00524765" w:rsidRPr="007E6AD1" w:rsidRDefault="00524765" w:rsidP="00524765">
            <w:pPr>
              <w:rPr>
                <w:rFonts w:ascii="Arial" w:hAnsi="Arial" w:cs="Arial"/>
                <w:color w:val="0F243E" w:themeColor="text2" w:themeShade="80"/>
              </w:rPr>
            </w:pPr>
            <w:r w:rsidRPr="007E6AD1">
              <w:rPr>
                <w:rFonts w:ascii="Arial" w:hAnsi="Arial" w:cs="Arial"/>
                <w:color w:val="0F243E" w:themeColor="text2" w:themeShade="80"/>
              </w:rPr>
              <w:t>PROFESIONAL –</w:t>
            </w:r>
            <w:r w:rsidR="007E6AD1">
              <w:rPr>
                <w:rFonts w:ascii="Arial" w:hAnsi="Arial" w:cs="Arial"/>
                <w:color w:val="0F243E" w:themeColor="text2" w:themeShade="80"/>
              </w:rPr>
              <w:t xml:space="preserve"> TEÓ</w:t>
            </w:r>
            <w:r w:rsidRPr="007E6AD1">
              <w:rPr>
                <w:rFonts w:ascii="Arial" w:hAnsi="Arial" w:cs="Arial"/>
                <w:color w:val="0F243E" w:themeColor="text2" w:themeShade="80"/>
              </w:rPr>
              <w:t>RICO –</w:t>
            </w:r>
            <w:r w:rsidR="007E6AD1">
              <w:rPr>
                <w:rFonts w:ascii="Arial" w:hAnsi="Arial" w:cs="Arial"/>
                <w:color w:val="0F243E" w:themeColor="text2" w:themeShade="80"/>
              </w:rPr>
              <w:t xml:space="preserve"> PRÁ</w:t>
            </w:r>
            <w:r w:rsidRPr="007E6AD1">
              <w:rPr>
                <w:rFonts w:ascii="Arial" w:hAnsi="Arial" w:cs="Arial"/>
                <w:color w:val="0F243E" w:themeColor="text2" w:themeShade="80"/>
              </w:rPr>
              <w:t xml:space="preserve">CTICO – </w:t>
            </w:r>
            <w:r w:rsidR="006C1616" w:rsidRPr="007E6AD1">
              <w:rPr>
                <w:rFonts w:ascii="Arial" w:hAnsi="Arial" w:cs="Arial"/>
                <w:color w:val="0F243E" w:themeColor="text2" w:themeShade="80"/>
              </w:rPr>
              <w:t>PRESENCIAL</w:t>
            </w:r>
          </w:p>
          <w:p w:rsidR="009D3B04" w:rsidRPr="007E6AD1" w:rsidRDefault="009D3B04" w:rsidP="00524765">
            <w:pPr>
              <w:rPr>
                <w:rFonts w:ascii="Arial" w:hAnsi="Arial" w:cs="Arial"/>
                <w:color w:val="0F243E" w:themeColor="text2" w:themeShade="80"/>
              </w:rPr>
            </w:pPr>
            <w:r w:rsidRPr="007E6AD1">
              <w:rPr>
                <w:rFonts w:ascii="Arial" w:hAnsi="Arial" w:cs="Arial"/>
                <w:color w:val="0F243E" w:themeColor="text2" w:themeShade="80"/>
              </w:rPr>
              <w:t>CAMPO:</w:t>
            </w:r>
            <w:r w:rsidR="006C1616" w:rsidRPr="007E6AD1">
              <w:rPr>
                <w:rFonts w:ascii="Arial" w:hAnsi="Arial" w:cs="Arial"/>
                <w:color w:val="0F243E" w:themeColor="text2" w:themeShade="80"/>
              </w:rPr>
              <w:t xml:space="preserve"> JURIDICO </w:t>
            </w:r>
          </w:p>
        </w:tc>
        <w:tc>
          <w:tcPr>
            <w:tcW w:w="2693" w:type="dxa"/>
            <w:gridSpan w:val="3"/>
            <w:tcBorders>
              <w:top w:val="single" w:sz="4" w:space="0" w:color="auto"/>
              <w:left w:val="sing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ÁREA/MÓDULO</w:t>
            </w:r>
          </w:p>
          <w:p w:rsidR="006C1616" w:rsidRPr="007E6AD1" w:rsidRDefault="006C1616" w:rsidP="00CC21F3">
            <w:pPr>
              <w:rPr>
                <w:rFonts w:ascii="Arial" w:hAnsi="Arial" w:cs="Arial"/>
                <w:color w:val="0F243E" w:themeColor="text2" w:themeShade="80"/>
              </w:rPr>
            </w:pPr>
          </w:p>
          <w:p w:rsidR="006C1616" w:rsidRPr="007E6AD1" w:rsidRDefault="006C1616" w:rsidP="00CC21F3">
            <w:pPr>
              <w:rPr>
                <w:rFonts w:ascii="Arial" w:hAnsi="Arial" w:cs="Arial"/>
                <w:color w:val="0F243E" w:themeColor="text2" w:themeShade="80"/>
              </w:rPr>
            </w:pPr>
            <w:r w:rsidRPr="007E6AD1">
              <w:rPr>
                <w:rFonts w:ascii="Arial" w:hAnsi="Arial" w:cs="Arial"/>
                <w:color w:val="0F243E" w:themeColor="text2" w:themeShade="80"/>
              </w:rPr>
              <w:t>PENAL</w:t>
            </w:r>
          </w:p>
        </w:tc>
        <w:tc>
          <w:tcPr>
            <w:tcW w:w="2425" w:type="dxa"/>
            <w:gridSpan w:val="2"/>
            <w:tcBorders>
              <w:top w:val="single" w:sz="4" w:space="0" w:color="auto"/>
              <w:left w:val="sing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SEMESTRE</w:t>
            </w:r>
            <w:r w:rsidR="00FE7FF8" w:rsidRPr="007E6AD1">
              <w:rPr>
                <w:rFonts w:ascii="Arial" w:hAnsi="Arial" w:cs="Arial"/>
                <w:color w:val="0F243E" w:themeColor="text2" w:themeShade="80"/>
              </w:rPr>
              <w:t xml:space="preserve"> </w:t>
            </w:r>
          </w:p>
          <w:p w:rsidR="006C1616" w:rsidRPr="007E6AD1" w:rsidRDefault="006C1616" w:rsidP="00CC21F3">
            <w:pPr>
              <w:rPr>
                <w:rFonts w:ascii="Arial" w:hAnsi="Arial" w:cs="Arial"/>
                <w:color w:val="0F243E" w:themeColor="text2" w:themeShade="80"/>
              </w:rPr>
            </w:pPr>
          </w:p>
          <w:p w:rsidR="006C1616" w:rsidRPr="007E6AD1" w:rsidRDefault="006C1616" w:rsidP="00CC21F3">
            <w:pPr>
              <w:rPr>
                <w:rFonts w:ascii="Arial" w:hAnsi="Arial" w:cs="Arial"/>
                <w:color w:val="0F243E" w:themeColor="text2" w:themeShade="80"/>
              </w:rPr>
            </w:pPr>
            <w:r w:rsidRPr="007E6AD1">
              <w:rPr>
                <w:rFonts w:ascii="Arial" w:hAnsi="Arial" w:cs="Arial"/>
                <w:color w:val="0F243E" w:themeColor="text2" w:themeShade="80"/>
              </w:rPr>
              <w:t>OCTAVO</w:t>
            </w:r>
          </w:p>
        </w:tc>
      </w:tr>
      <w:tr w:rsidR="009D3B04" w:rsidRPr="007E6AD1" w:rsidTr="00524765">
        <w:tc>
          <w:tcPr>
            <w:tcW w:w="9054" w:type="dxa"/>
            <w:gridSpan w:val="7"/>
          </w:tcPr>
          <w:p w:rsidR="009D3B04" w:rsidRPr="007E6AD1" w:rsidRDefault="009D3B04" w:rsidP="00CC21F3">
            <w:pPr>
              <w:rPr>
                <w:rFonts w:ascii="Arial" w:hAnsi="Arial" w:cs="Arial"/>
                <w:b/>
                <w:color w:val="0F243E" w:themeColor="text2" w:themeShade="80"/>
              </w:rPr>
            </w:pPr>
          </w:p>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 xml:space="preserve">ASIGNATURA/MÓDULO/SEMINARIO:  </w:t>
            </w:r>
            <w:r w:rsidR="006C1616" w:rsidRPr="007E6AD1">
              <w:rPr>
                <w:rFonts w:ascii="Arial" w:hAnsi="Arial" w:cs="Arial"/>
                <w:b/>
                <w:color w:val="0F243E" w:themeColor="text2" w:themeShade="80"/>
              </w:rPr>
              <w:t>PENAL A</w:t>
            </w:r>
            <w:r w:rsidR="008B6902" w:rsidRPr="007E6AD1">
              <w:rPr>
                <w:rFonts w:ascii="Arial" w:hAnsi="Arial" w:cs="Arial"/>
                <w:b/>
                <w:color w:val="0F243E" w:themeColor="text2" w:themeShade="80"/>
              </w:rPr>
              <w:t>P</w:t>
            </w:r>
            <w:r w:rsidR="006C1616" w:rsidRPr="007E6AD1">
              <w:rPr>
                <w:rFonts w:ascii="Arial" w:hAnsi="Arial" w:cs="Arial"/>
                <w:b/>
                <w:color w:val="0F243E" w:themeColor="text2" w:themeShade="80"/>
              </w:rPr>
              <w:t>LICADO</w:t>
            </w:r>
          </w:p>
          <w:p w:rsidR="009D3B04" w:rsidRPr="007E6AD1" w:rsidRDefault="009D3B04" w:rsidP="00CC21F3">
            <w:pPr>
              <w:rPr>
                <w:rFonts w:ascii="Arial" w:hAnsi="Arial" w:cs="Arial"/>
                <w:b/>
                <w:color w:val="0F243E" w:themeColor="text2" w:themeShade="80"/>
              </w:rPr>
            </w:pPr>
          </w:p>
        </w:tc>
      </w:tr>
      <w:tr w:rsidR="009D3B04" w:rsidRPr="007E6AD1" w:rsidTr="00524765">
        <w:tc>
          <w:tcPr>
            <w:tcW w:w="5721" w:type="dxa"/>
            <w:gridSpan w:val="4"/>
            <w:tcBorders>
              <w:right w:val="single" w:sz="4" w:space="0" w:color="auto"/>
            </w:tcBorders>
          </w:tcPr>
          <w:p w:rsidR="009D3B04" w:rsidRPr="007E6AD1" w:rsidRDefault="009D3B04" w:rsidP="00CC21F3">
            <w:pPr>
              <w:rPr>
                <w:rFonts w:ascii="Arial" w:hAnsi="Arial" w:cs="Arial"/>
                <w:b/>
                <w:color w:val="0F243E" w:themeColor="text2" w:themeShade="80"/>
              </w:rPr>
            </w:pPr>
          </w:p>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ACTA DE APROBACIÓN DEL PLAN DE ASIGNATURA:</w:t>
            </w:r>
          </w:p>
          <w:p w:rsidR="009D3B04" w:rsidRPr="007E6AD1" w:rsidRDefault="009D3B04" w:rsidP="00CC21F3">
            <w:pPr>
              <w:rPr>
                <w:rFonts w:ascii="Arial" w:hAnsi="Arial" w:cs="Arial"/>
                <w:b/>
                <w:color w:val="0F243E" w:themeColor="text2" w:themeShade="80"/>
              </w:rPr>
            </w:pPr>
          </w:p>
        </w:tc>
        <w:tc>
          <w:tcPr>
            <w:tcW w:w="3333" w:type="dxa"/>
            <w:gridSpan w:val="3"/>
            <w:tcBorders>
              <w:left w:val="single" w:sz="4" w:space="0" w:color="auto"/>
            </w:tcBorders>
          </w:tcPr>
          <w:p w:rsidR="009D3B04" w:rsidRPr="007E6AD1" w:rsidRDefault="009D3B04" w:rsidP="00CC21F3">
            <w:pPr>
              <w:rPr>
                <w:rFonts w:ascii="Arial" w:hAnsi="Arial" w:cs="Arial"/>
                <w:b/>
                <w:color w:val="0F243E" w:themeColor="text2" w:themeShade="80"/>
              </w:rPr>
            </w:pPr>
          </w:p>
          <w:p w:rsidR="009D3B04" w:rsidRPr="007E6AD1" w:rsidRDefault="009D3B04" w:rsidP="00CC21F3">
            <w:pPr>
              <w:rPr>
                <w:rFonts w:ascii="Arial" w:hAnsi="Arial" w:cs="Arial"/>
                <w:b/>
                <w:color w:val="0F243E" w:themeColor="text2" w:themeShade="80"/>
              </w:rPr>
            </w:pPr>
          </w:p>
          <w:p w:rsidR="009D3B04" w:rsidRPr="007E6AD1" w:rsidRDefault="009D3B04" w:rsidP="00CC21F3">
            <w:pPr>
              <w:rPr>
                <w:rFonts w:ascii="Arial" w:hAnsi="Arial" w:cs="Arial"/>
                <w:b/>
                <w:color w:val="0F243E" w:themeColor="text2" w:themeShade="80"/>
              </w:rPr>
            </w:pPr>
          </w:p>
        </w:tc>
      </w:tr>
      <w:tr w:rsidR="009D3B04" w:rsidRPr="007E6AD1" w:rsidTr="00524765">
        <w:tc>
          <w:tcPr>
            <w:tcW w:w="1710" w:type="dxa"/>
            <w:tcBorders>
              <w:right w:val="sing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MODALIDAD:</w:t>
            </w:r>
          </w:p>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 xml:space="preserve"> </w:t>
            </w:r>
          </w:p>
        </w:tc>
        <w:tc>
          <w:tcPr>
            <w:tcW w:w="2541" w:type="dxa"/>
            <w:gridSpan w:val="2"/>
            <w:tcBorders>
              <w:left w:val="sing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 xml:space="preserve"> PRESENCIAL   </w:t>
            </w:r>
            <w:r w:rsidR="006C1616" w:rsidRPr="007E6AD1">
              <w:rPr>
                <w:rFonts w:ascii="Arial" w:hAnsi="Arial" w:cs="Arial"/>
                <w:color w:val="0F243E" w:themeColor="text2" w:themeShade="80"/>
              </w:rPr>
              <w:t>X</w:t>
            </w:r>
            <w:r w:rsidR="00FE7FF8" w:rsidRPr="007E6AD1">
              <w:rPr>
                <w:rFonts w:ascii="Arial" w:hAnsi="Arial" w:cs="Arial"/>
                <w:color w:val="0F243E" w:themeColor="text2" w:themeShade="80"/>
              </w:rPr>
              <w:sym w:font="Wingdings" w:char="F06F"/>
            </w:r>
          </w:p>
        </w:tc>
        <w:tc>
          <w:tcPr>
            <w:tcW w:w="2557" w:type="dxa"/>
            <w:gridSpan w:val="3"/>
            <w:tcBorders>
              <w:left w:val="single" w:sz="4" w:space="0" w:color="auto"/>
            </w:tcBorders>
          </w:tcPr>
          <w:p w:rsidR="009D3B04" w:rsidRPr="007E6AD1" w:rsidRDefault="009D3B04" w:rsidP="00FE7FF8">
            <w:pPr>
              <w:rPr>
                <w:rFonts w:ascii="Arial" w:hAnsi="Arial" w:cs="Arial"/>
                <w:color w:val="0F243E" w:themeColor="text2" w:themeShade="80"/>
              </w:rPr>
            </w:pPr>
            <w:r w:rsidRPr="007E6AD1">
              <w:rPr>
                <w:rFonts w:ascii="Arial" w:hAnsi="Arial" w:cs="Arial"/>
                <w:color w:val="0F243E" w:themeColor="text2" w:themeShade="80"/>
              </w:rPr>
              <w:t xml:space="preserve">VIRTUAL </w:t>
            </w:r>
            <w:r w:rsidR="00FE7FF8" w:rsidRPr="007E6AD1">
              <w:rPr>
                <w:rFonts w:ascii="Arial" w:hAnsi="Arial" w:cs="Arial"/>
                <w:color w:val="0F243E" w:themeColor="text2" w:themeShade="80"/>
              </w:rPr>
              <w:t xml:space="preserve">    </w:t>
            </w:r>
            <w:r w:rsidR="00FE7FF8" w:rsidRPr="007E6AD1">
              <w:rPr>
                <w:rFonts w:ascii="Arial" w:hAnsi="Arial" w:cs="Arial"/>
                <w:color w:val="0F243E" w:themeColor="text2" w:themeShade="80"/>
              </w:rPr>
              <w:sym w:font="Wingdings" w:char="F06F"/>
            </w:r>
          </w:p>
        </w:tc>
        <w:tc>
          <w:tcPr>
            <w:tcW w:w="2246" w:type="dxa"/>
            <w:tcBorders>
              <w:left w:val="sing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BIMODAL</w:t>
            </w:r>
            <w:r w:rsidR="00FE7FF8" w:rsidRPr="007E6AD1">
              <w:rPr>
                <w:rFonts w:ascii="Arial" w:hAnsi="Arial" w:cs="Arial"/>
                <w:color w:val="0F243E" w:themeColor="text2" w:themeShade="80"/>
              </w:rPr>
              <w:t xml:space="preserve">   </w:t>
            </w:r>
            <w:r w:rsidR="00FE7FF8" w:rsidRPr="007E6AD1">
              <w:rPr>
                <w:rFonts w:ascii="Arial" w:hAnsi="Arial" w:cs="Arial"/>
                <w:color w:val="0F243E" w:themeColor="text2" w:themeShade="80"/>
              </w:rPr>
              <w:sym w:font="Wingdings" w:char="F06F"/>
            </w:r>
          </w:p>
        </w:tc>
      </w:tr>
    </w:tbl>
    <w:p w:rsidR="009D3B04" w:rsidRPr="007E6AD1"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7E6AD1" w:rsidTr="00CC21F3">
        <w:tc>
          <w:tcPr>
            <w:tcW w:w="5495" w:type="dxa"/>
            <w:gridSpan w:val="2"/>
          </w:tcPr>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CÓDIGO ASIGNATURA:</w:t>
            </w:r>
          </w:p>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 xml:space="preserve"> </w:t>
            </w:r>
          </w:p>
        </w:tc>
        <w:tc>
          <w:tcPr>
            <w:tcW w:w="4111" w:type="dxa"/>
          </w:tcPr>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 xml:space="preserve">N° CRÉDITOS:  </w:t>
            </w:r>
            <w:r w:rsidR="00C83808" w:rsidRPr="007E6AD1">
              <w:rPr>
                <w:rFonts w:ascii="Arial" w:hAnsi="Arial" w:cs="Arial"/>
                <w:b/>
                <w:color w:val="0F243E" w:themeColor="text2" w:themeShade="80"/>
              </w:rPr>
              <w:t>2</w:t>
            </w:r>
          </w:p>
        </w:tc>
      </w:tr>
      <w:tr w:rsidR="009D3B04" w:rsidRPr="007E6AD1" w:rsidTr="00CC21F3">
        <w:tc>
          <w:tcPr>
            <w:tcW w:w="4503" w:type="dxa"/>
          </w:tcPr>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Fecha de Elaboración:</w:t>
            </w:r>
          </w:p>
          <w:p w:rsidR="006C1616" w:rsidRPr="007E6AD1" w:rsidRDefault="006C1616" w:rsidP="00CC21F3">
            <w:pPr>
              <w:rPr>
                <w:rFonts w:ascii="Arial" w:hAnsi="Arial" w:cs="Arial"/>
                <w:b/>
                <w:color w:val="0F243E" w:themeColor="text2" w:themeShade="80"/>
              </w:rPr>
            </w:pPr>
          </w:p>
          <w:p w:rsidR="009D3B04" w:rsidRPr="007E6AD1" w:rsidRDefault="006C1616" w:rsidP="00CC21F3">
            <w:pPr>
              <w:rPr>
                <w:rFonts w:ascii="Arial" w:hAnsi="Arial" w:cs="Arial"/>
                <w:b/>
                <w:color w:val="0F243E" w:themeColor="text2" w:themeShade="80"/>
              </w:rPr>
            </w:pPr>
            <w:r w:rsidRPr="007E6AD1">
              <w:rPr>
                <w:rFonts w:ascii="Arial" w:hAnsi="Arial" w:cs="Arial"/>
                <w:b/>
                <w:color w:val="0F243E" w:themeColor="text2" w:themeShade="80"/>
              </w:rPr>
              <w:t>30 ENERO DE 2015</w:t>
            </w:r>
          </w:p>
        </w:tc>
        <w:tc>
          <w:tcPr>
            <w:tcW w:w="5103" w:type="dxa"/>
            <w:gridSpan w:val="2"/>
            <w:tcBorders>
              <w:left w:val="single" w:sz="4" w:space="0" w:color="auto"/>
            </w:tcBorders>
          </w:tcPr>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Fecha de Actualización:</w:t>
            </w:r>
          </w:p>
          <w:p w:rsidR="009D3B04" w:rsidRPr="007E6AD1" w:rsidRDefault="009D3B04" w:rsidP="00CC21F3">
            <w:pPr>
              <w:rPr>
                <w:rFonts w:ascii="Arial" w:hAnsi="Arial" w:cs="Arial"/>
                <w:b/>
                <w:color w:val="0F243E" w:themeColor="text2" w:themeShade="80"/>
              </w:rPr>
            </w:pPr>
          </w:p>
        </w:tc>
      </w:tr>
    </w:tbl>
    <w:p w:rsidR="009D3B04" w:rsidRPr="007E6AD1"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7E6AD1" w:rsidTr="00CC21F3">
        <w:tc>
          <w:tcPr>
            <w:tcW w:w="9606" w:type="dxa"/>
            <w:gridSpan w:val="3"/>
            <w:shd w:val="clear" w:color="auto" w:fill="365F91" w:themeFill="accent1" w:themeFillShade="BF"/>
          </w:tcPr>
          <w:p w:rsidR="009D3B04" w:rsidRPr="007E6AD1" w:rsidRDefault="009D3B04" w:rsidP="00CC21F3">
            <w:pPr>
              <w:jc w:val="center"/>
              <w:rPr>
                <w:rFonts w:ascii="Arial" w:hAnsi="Arial" w:cs="Arial"/>
                <w:b/>
                <w:color w:val="0F243E" w:themeColor="text2" w:themeShade="80"/>
              </w:rPr>
            </w:pPr>
            <w:r w:rsidRPr="007E6AD1">
              <w:rPr>
                <w:rFonts w:ascii="Arial" w:hAnsi="Arial" w:cs="Arial"/>
                <w:b/>
                <w:color w:val="FFFFFF" w:themeColor="background1"/>
              </w:rPr>
              <w:t>TIEMPO DE ACOMPAÑAMIENTO DOCENTE</w:t>
            </w:r>
          </w:p>
        </w:tc>
      </w:tr>
      <w:tr w:rsidR="009D3B04" w:rsidRPr="007E6AD1" w:rsidTr="00CC21F3">
        <w:tc>
          <w:tcPr>
            <w:tcW w:w="2943" w:type="dxa"/>
          </w:tcPr>
          <w:p w:rsidR="009D3B04" w:rsidRPr="007E6AD1" w:rsidRDefault="009D3B04" w:rsidP="006C1616">
            <w:pPr>
              <w:rPr>
                <w:rFonts w:ascii="Arial" w:hAnsi="Arial" w:cs="Arial"/>
                <w:color w:val="0F243E" w:themeColor="text2" w:themeShade="80"/>
              </w:rPr>
            </w:pPr>
            <w:r w:rsidRPr="007E6AD1">
              <w:rPr>
                <w:rFonts w:ascii="Arial" w:hAnsi="Arial" w:cs="Arial"/>
                <w:color w:val="0F243E" w:themeColor="text2" w:themeShade="80"/>
              </w:rPr>
              <w:t>Horas Semana:</w:t>
            </w:r>
            <w:r w:rsidR="008B6902" w:rsidRPr="007E6AD1">
              <w:rPr>
                <w:rFonts w:ascii="Arial" w:hAnsi="Arial" w:cs="Arial"/>
                <w:color w:val="0F243E" w:themeColor="text2" w:themeShade="80"/>
              </w:rPr>
              <w:t xml:space="preserve"> 2</w:t>
            </w:r>
          </w:p>
        </w:tc>
        <w:tc>
          <w:tcPr>
            <w:tcW w:w="2835" w:type="dxa"/>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Horas Mes:</w:t>
            </w:r>
            <w:r w:rsidR="008B6902" w:rsidRPr="007E6AD1">
              <w:rPr>
                <w:rFonts w:ascii="Arial" w:hAnsi="Arial" w:cs="Arial"/>
                <w:color w:val="0F243E" w:themeColor="text2" w:themeShade="80"/>
              </w:rPr>
              <w:t xml:space="preserve"> 8</w:t>
            </w:r>
          </w:p>
        </w:tc>
        <w:tc>
          <w:tcPr>
            <w:tcW w:w="3828" w:type="dxa"/>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Horas Práctica:</w:t>
            </w:r>
          </w:p>
        </w:tc>
      </w:tr>
      <w:tr w:rsidR="009D3B04" w:rsidRPr="007E6AD1" w:rsidTr="00CC21F3">
        <w:tc>
          <w:tcPr>
            <w:tcW w:w="2943" w:type="dxa"/>
          </w:tcPr>
          <w:p w:rsidR="009D3B04" w:rsidRPr="007E6AD1" w:rsidRDefault="008B6902" w:rsidP="00CC21F3">
            <w:pPr>
              <w:rPr>
                <w:rFonts w:ascii="Arial" w:hAnsi="Arial" w:cs="Arial"/>
                <w:color w:val="0F243E" w:themeColor="text2" w:themeShade="80"/>
              </w:rPr>
            </w:pPr>
            <w:r w:rsidRPr="007E6AD1">
              <w:rPr>
                <w:rFonts w:ascii="Arial" w:hAnsi="Arial" w:cs="Arial"/>
                <w:color w:val="0F243E" w:themeColor="text2" w:themeShade="80"/>
              </w:rPr>
              <w:t>H. Presenciales:  2</w:t>
            </w:r>
          </w:p>
        </w:tc>
        <w:tc>
          <w:tcPr>
            <w:tcW w:w="2835" w:type="dxa"/>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 xml:space="preserve">H. Tutoría:  </w:t>
            </w:r>
          </w:p>
        </w:tc>
        <w:tc>
          <w:tcPr>
            <w:tcW w:w="3828" w:type="dxa"/>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 xml:space="preserve">Total Horas Semestre: </w:t>
            </w:r>
            <w:r w:rsidR="008B6902" w:rsidRPr="007E6AD1">
              <w:rPr>
                <w:rFonts w:ascii="Arial" w:hAnsi="Arial" w:cs="Arial"/>
                <w:color w:val="0F243E" w:themeColor="text2" w:themeShade="80"/>
              </w:rPr>
              <w:t>32</w:t>
            </w: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RPr="007E6AD1" w:rsidTr="00CC21F3">
        <w:tc>
          <w:tcPr>
            <w:tcW w:w="9606" w:type="dxa"/>
            <w:gridSpan w:val="4"/>
            <w:shd w:val="clear" w:color="auto" w:fill="365F91" w:themeFill="accent1" w:themeFillShade="BF"/>
          </w:tcPr>
          <w:p w:rsidR="009D3B04" w:rsidRPr="007E6AD1" w:rsidRDefault="009D3B04" w:rsidP="00CC21F3">
            <w:pPr>
              <w:jc w:val="center"/>
              <w:rPr>
                <w:rFonts w:ascii="Arial" w:hAnsi="Arial" w:cs="Arial"/>
                <w:b/>
                <w:color w:val="0F243E" w:themeColor="text2" w:themeShade="80"/>
              </w:rPr>
            </w:pPr>
            <w:r w:rsidRPr="007E6AD1">
              <w:rPr>
                <w:rFonts w:ascii="Arial" w:hAnsi="Arial" w:cs="Arial"/>
                <w:b/>
                <w:color w:val="FFFFFF" w:themeColor="background1"/>
              </w:rPr>
              <w:t xml:space="preserve">TIEMPO DE TRABAJO INDEPENDIENTE DEL ESTUDIANTE </w:t>
            </w:r>
          </w:p>
        </w:tc>
      </w:tr>
      <w:tr w:rsidR="009D3B04" w:rsidRPr="007E6AD1" w:rsidTr="00CC21F3">
        <w:tc>
          <w:tcPr>
            <w:tcW w:w="3060" w:type="dxa"/>
            <w:tcBorders>
              <w:right w:val="sing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Horas Semana:</w:t>
            </w:r>
            <w:r w:rsidR="008B6902" w:rsidRPr="007E6AD1">
              <w:rPr>
                <w:rFonts w:ascii="Arial" w:hAnsi="Arial" w:cs="Arial"/>
                <w:color w:val="0F243E" w:themeColor="text2" w:themeShade="80"/>
              </w:rPr>
              <w:t xml:space="preserve"> 4</w:t>
            </w:r>
          </w:p>
        </w:tc>
        <w:tc>
          <w:tcPr>
            <w:tcW w:w="3285" w:type="dxa"/>
            <w:gridSpan w:val="2"/>
            <w:tcBorders>
              <w:right w:val="single" w:sz="4" w:space="0" w:color="auto"/>
            </w:tcBorders>
          </w:tcPr>
          <w:p w:rsidR="008B6902" w:rsidRPr="007E6AD1" w:rsidRDefault="009D3B04" w:rsidP="008B6902">
            <w:pPr>
              <w:rPr>
                <w:rFonts w:ascii="Arial" w:hAnsi="Arial" w:cs="Arial"/>
                <w:color w:val="0F243E" w:themeColor="text2" w:themeShade="80"/>
              </w:rPr>
            </w:pPr>
            <w:r w:rsidRPr="007E6AD1">
              <w:rPr>
                <w:rFonts w:ascii="Arial" w:hAnsi="Arial" w:cs="Arial"/>
                <w:color w:val="0F243E" w:themeColor="text2" w:themeShade="80"/>
              </w:rPr>
              <w:t>Horas Mes:</w:t>
            </w:r>
            <w:r w:rsidR="008B6902" w:rsidRPr="007E6AD1">
              <w:rPr>
                <w:rFonts w:ascii="Arial" w:hAnsi="Arial" w:cs="Arial"/>
                <w:color w:val="0F243E" w:themeColor="text2" w:themeShade="80"/>
              </w:rPr>
              <w:t xml:space="preserve"> 16</w:t>
            </w:r>
          </w:p>
        </w:tc>
        <w:tc>
          <w:tcPr>
            <w:tcW w:w="3261" w:type="dxa"/>
            <w:tcBorders>
              <w:left w:val="sing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Horas Semestre:</w:t>
            </w:r>
            <w:r w:rsidR="008B6902" w:rsidRPr="007E6AD1">
              <w:rPr>
                <w:rFonts w:ascii="Arial" w:hAnsi="Arial" w:cs="Arial"/>
                <w:color w:val="0F243E" w:themeColor="text2" w:themeShade="80"/>
              </w:rPr>
              <w:t xml:space="preserve"> 80</w:t>
            </w:r>
          </w:p>
        </w:tc>
      </w:tr>
      <w:tr w:rsidR="009D3B04" w:rsidRPr="007E6AD1" w:rsidTr="00CC21F3">
        <w:tc>
          <w:tcPr>
            <w:tcW w:w="5920" w:type="dxa"/>
            <w:gridSpan w:val="2"/>
            <w:tcBorders>
              <w:right w:val="sing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Total de Tiempo de Trabajo Académico</w:t>
            </w:r>
            <w:r w:rsidR="008B6902" w:rsidRPr="007E6AD1">
              <w:rPr>
                <w:rFonts w:ascii="Arial" w:hAnsi="Arial" w:cs="Arial"/>
                <w:color w:val="0F243E" w:themeColor="text2" w:themeShade="80"/>
              </w:rPr>
              <w:t>: 80</w:t>
            </w:r>
          </w:p>
        </w:tc>
        <w:tc>
          <w:tcPr>
            <w:tcW w:w="3686" w:type="dxa"/>
            <w:gridSpan w:val="2"/>
            <w:tcBorders>
              <w:left w:val="sing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N° de Semanas</w:t>
            </w:r>
            <w:r w:rsidR="008B6902" w:rsidRPr="007E6AD1">
              <w:rPr>
                <w:rFonts w:ascii="Arial" w:hAnsi="Arial" w:cs="Arial"/>
                <w:color w:val="0F243E" w:themeColor="text2" w:themeShade="80"/>
              </w:rPr>
              <w:t xml:space="preserve"> 16</w:t>
            </w: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RPr="007E6AD1" w:rsidTr="00CC21F3">
        <w:tc>
          <w:tcPr>
            <w:tcW w:w="1384" w:type="dxa"/>
            <w:tcBorders>
              <w:right w:val="doub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Jornada</w:t>
            </w:r>
          </w:p>
        </w:tc>
        <w:tc>
          <w:tcPr>
            <w:tcW w:w="3701" w:type="dxa"/>
            <w:tcBorders>
              <w:left w:val="doub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Diurna</w:t>
            </w:r>
            <w:r w:rsidR="00FE7FF8" w:rsidRPr="007E6AD1">
              <w:rPr>
                <w:rFonts w:ascii="Arial" w:hAnsi="Arial" w:cs="Arial"/>
                <w:color w:val="0F243E" w:themeColor="text2" w:themeShade="80"/>
              </w:rPr>
              <w:t xml:space="preserve">       </w:t>
            </w:r>
            <w:r w:rsidR="008B6902" w:rsidRPr="007E6AD1">
              <w:rPr>
                <w:rFonts w:ascii="Arial" w:hAnsi="Arial" w:cs="Arial"/>
                <w:color w:val="0F243E" w:themeColor="text2" w:themeShade="80"/>
              </w:rPr>
              <w:t xml:space="preserve">X </w:t>
            </w:r>
            <w:r w:rsidR="00FE7FF8" w:rsidRPr="007E6AD1">
              <w:rPr>
                <w:rFonts w:ascii="Arial" w:hAnsi="Arial" w:cs="Arial"/>
                <w:color w:val="0F243E" w:themeColor="text2" w:themeShade="80"/>
              </w:rPr>
              <w:sym w:font="Wingdings" w:char="F06F"/>
            </w:r>
          </w:p>
        </w:tc>
        <w:tc>
          <w:tcPr>
            <w:tcW w:w="4521" w:type="dxa"/>
            <w:tcBorders>
              <w:left w:val="double" w:sz="4" w:space="0" w:color="auto"/>
            </w:tcBorders>
          </w:tcPr>
          <w:p w:rsidR="009D3B04" w:rsidRPr="007E6AD1" w:rsidRDefault="009D3B04" w:rsidP="00CC21F3">
            <w:pPr>
              <w:rPr>
                <w:rFonts w:ascii="Arial" w:hAnsi="Arial" w:cs="Arial"/>
                <w:color w:val="0F243E" w:themeColor="text2" w:themeShade="80"/>
              </w:rPr>
            </w:pPr>
            <w:r w:rsidRPr="007E6AD1">
              <w:rPr>
                <w:rFonts w:ascii="Arial" w:hAnsi="Arial" w:cs="Arial"/>
                <w:color w:val="0F243E" w:themeColor="text2" w:themeShade="80"/>
              </w:rPr>
              <w:t>Nocturna</w:t>
            </w:r>
            <w:r w:rsidR="00FE7FF8" w:rsidRPr="007E6AD1">
              <w:rPr>
                <w:rFonts w:ascii="Arial" w:hAnsi="Arial" w:cs="Arial"/>
                <w:color w:val="0F243E" w:themeColor="text2" w:themeShade="80"/>
              </w:rPr>
              <w:t xml:space="preserve">      </w:t>
            </w:r>
            <w:r w:rsidR="00FE7FF8" w:rsidRPr="007E6AD1">
              <w:rPr>
                <w:rFonts w:ascii="Arial" w:hAnsi="Arial" w:cs="Arial"/>
                <w:color w:val="0F243E" w:themeColor="text2" w:themeShade="80"/>
              </w:rPr>
              <w:sym w:font="Wingdings" w:char="F06F"/>
            </w: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9D3B04">
        <w:tc>
          <w:tcPr>
            <w:tcW w:w="9054" w:type="dxa"/>
            <w:shd w:val="clear" w:color="auto" w:fill="365F91" w:themeFill="accent1" w:themeFillShade="BF"/>
          </w:tcPr>
          <w:p w:rsidR="009D3B04" w:rsidRPr="007E6AD1" w:rsidRDefault="009D3B04" w:rsidP="00CC21F3">
            <w:pPr>
              <w:rPr>
                <w:rFonts w:ascii="Arial" w:hAnsi="Arial" w:cs="Arial"/>
                <w:b/>
                <w:color w:val="0F243E" w:themeColor="text2" w:themeShade="80"/>
              </w:rPr>
            </w:pPr>
            <w:r w:rsidRPr="007E6AD1">
              <w:rPr>
                <w:rFonts w:ascii="Arial" w:hAnsi="Arial" w:cs="Arial"/>
                <w:b/>
                <w:color w:val="FFFFFF" w:themeColor="background1"/>
              </w:rPr>
              <w:t>JUSTIFICACIÓN:</w:t>
            </w:r>
          </w:p>
        </w:tc>
      </w:tr>
      <w:tr w:rsidR="009D3B04" w:rsidRPr="007E6AD1" w:rsidTr="009D3B04">
        <w:tc>
          <w:tcPr>
            <w:tcW w:w="9054" w:type="dxa"/>
          </w:tcPr>
          <w:p w:rsidR="008B6902" w:rsidRPr="007E6AD1" w:rsidRDefault="008B6902" w:rsidP="008B6902">
            <w:pPr>
              <w:autoSpaceDE w:val="0"/>
              <w:autoSpaceDN w:val="0"/>
              <w:adjustRightInd w:val="0"/>
              <w:ind w:left="360"/>
              <w:jc w:val="both"/>
              <w:rPr>
                <w:rFonts w:ascii="Arial" w:hAnsi="Arial" w:cs="Arial"/>
                <w:color w:val="0F243E" w:themeColor="text2" w:themeShade="80"/>
              </w:rPr>
            </w:pPr>
          </w:p>
          <w:p w:rsidR="008B6902" w:rsidRPr="007E6AD1" w:rsidRDefault="008B6902" w:rsidP="008B6902">
            <w:pPr>
              <w:autoSpaceDE w:val="0"/>
              <w:autoSpaceDN w:val="0"/>
              <w:adjustRightInd w:val="0"/>
              <w:ind w:left="360"/>
              <w:jc w:val="both"/>
              <w:rPr>
                <w:rFonts w:ascii="Arial" w:hAnsi="Arial" w:cs="Arial"/>
              </w:rPr>
            </w:pPr>
            <w:r w:rsidRPr="007E6AD1">
              <w:rPr>
                <w:rFonts w:ascii="Arial" w:hAnsi="Arial" w:cs="Arial"/>
              </w:rPr>
              <w:t xml:space="preserve">La  estructura del proceso penal adoptada por el Acto Legislativo 03 de 2002, por medio del cual se modificó la Carta Magna, desarrollado por la Ley 906 de 2004, la que a su vez fue reformada por la Ley 1142 de 2007. Configuración </w:t>
            </w:r>
            <w:r w:rsidRPr="007E6AD1">
              <w:rPr>
                <w:rFonts w:ascii="Arial" w:hAnsi="Arial" w:cs="Arial"/>
              </w:rPr>
              <w:lastRenderedPageBreak/>
              <w:t>normativa, mediante la cual, el constituyente adoptó un sistema de enjuiciamiento acusatorio adversarial, el cual requiere de un cuidadoso estudio por parte de la academia y en especial en el módulo de derecho penal de la Universidad.</w:t>
            </w:r>
          </w:p>
          <w:p w:rsidR="008B6902" w:rsidRPr="007E6AD1" w:rsidRDefault="008B6902" w:rsidP="008B6902">
            <w:pPr>
              <w:autoSpaceDE w:val="0"/>
              <w:autoSpaceDN w:val="0"/>
              <w:adjustRightInd w:val="0"/>
              <w:ind w:left="360"/>
              <w:jc w:val="both"/>
              <w:rPr>
                <w:rFonts w:ascii="Arial" w:hAnsi="Arial" w:cs="Arial"/>
              </w:rPr>
            </w:pPr>
          </w:p>
          <w:p w:rsidR="008B6902" w:rsidRPr="007E6AD1" w:rsidRDefault="008B6902" w:rsidP="008B6902">
            <w:pPr>
              <w:autoSpaceDE w:val="0"/>
              <w:autoSpaceDN w:val="0"/>
              <w:adjustRightInd w:val="0"/>
              <w:ind w:left="360"/>
              <w:jc w:val="both"/>
              <w:rPr>
                <w:rFonts w:ascii="Arial" w:hAnsi="Arial" w:cs="Arial"/>
              </w:rPr>
            </w:pPr>
            <w:r w:rsidRPr="007E6AD1">
              <w:rPr>
                <w:rFonts w:ascii="Arial" w:hAnsi="Arial" w:cs="Arial"/>
              </w:rPr>
              <w:t>Así las cosas, la asignatura práctica de Derecho Penal Aplicado, presenta la naturaleza constitucional del procedimiento penal acusatorio, la cual estudia las características y principios rectores, así como las garantías procesales; todo esto aunado a la jurisprudencia de la Corte Constitucional y la Corte Suprema de Justicia Sala Penal, uniéndose a un cuidadoso aporte desde el derecho internacional, derecho internacional de los derechos humanos y derecho penal internacional.</w:t>
            </w:r>
          </w:p>
          <w:p w:rsidR="008B6902" w:rsidRPr="007E6AD1" w:rsidRDefault="008B6902" w:rsidP="008B6902">
            <w:pPr>
              <w:autoSpaceDE w:val="0"/>
              <w:autoSpaceDN w:val="0"/>
              <w:adjustRightInd w:val="0"/>
              <w:ind w:left="360"/>
              <w:jc w:val="both"/>
              <w:rPr>
                <w:rFonts w:ascii="Arial" w:hAnsi="Arial" w:cs="Arial"/>
              </w:rPr>
            </w:pPr>
          </w:p>
          <w:p w:rsidR="009D3B04" w:rsidRPr="007E6AD1" w:rsidRDefault="008B6902" w:rsidP="008B6902">
            <w:pPr>
              <w:autoSpaceDE w:val="0"/>
              <w:autoSpaceDN w:val="0"/>
              <w:adjustRightInd w:val="0"/>
              <w:ind w:left="360"/>
              <w:jc w:val="both"/>
              <w:rPr>
                <w:rFonts w:ascii="Arial" w:hAnsi="Arial" w:cs="Arial"/>
              </w:rPr>
            </w:pPr>
            <w:r w:rsidRPr="007E6AD1">
              <w:rPr>
                <w:rFonts w:ascii="Arial" w:hAnsi="Arial" w:cs="Arial"/>
              </w:rPr>
              <w:t>Por lo tanto, se realizarán Audiencias Preliminares, de juicio y de incidente de reparación; con lo cual se permite una mejor comprensión de la estructura del proceso penal que se verá reflejado en las intervenciones de los/las estudiantes en las distintas audiencias, consiguiendo así llegar a las  formas de terminación del proceso penal y su dominio por parte de los/las alumnos/as.</w:t>
            </w:r>
          </w:p>
          <w:p w:rsidR="008B6902" w:rsidRPr="007E6AD1" w:rsidRDefault="008B6902" w:rsidP="008B6902">
            <w:pPr>
              <w:autoSpaceDE w:val="0"/>
              <w:autoSpaceDN w:val="0"/>
              <w:adjustRightInd w:val="0"/>
              <w:ind w:left="360"/>
              <w:jc w:val="both"/>
              <w:rPr>
                <w:rFonts w:ascii="Arial" w:hAnsi="Arial" w:cs="Arial"/>
              </w:rPr>
            </w:pP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CC21F3">
        <w:tc>
          <w:tcPr>
            <w:tcW w:w="9740" w:type="dxa"/>
            <w:shd w:val="clear" w:color="auto" w:fill="365F91" w:themeFill="accent1" w:themeFillShade="BF"/>
          </w:tcPr>
          <w:p w:rsidR="009D3B04" w:rsidRPr="007E6AD1" w:rsidRDefault="009D3B04" w:rsidP="00CC21F3">
            <w:pPr>
              <w:rPr>
                <w:rFonts w:ascii="Arial" w:hAnsi="Arial" w:cs="Arial"/>
                <w:b/>
                <w:color w:val="0F243E" w:themeColor="text2" w:themeShade="80"/>
              </w:rPr>
            </w:pPr>
            <w:r w:rsidRPr="007E6AD1">
              <w:rPr>
                <w:rFonts w:ascii="Arial" w:hAnsi="Arial" w:cs="Arial"/>
                <w:b/>
                <w:color w:val="FFFFFF" w:themeColor="background1"/>
              </w:rPr>
              <w:t>OBJETIVO GENERAL DE LA ASIGNATURA:</w:t>
            </w:r>
          </w:p>
        </w:tc>
      </w:tr>
      <w:tr w:rsidR="009D3B04" w:rsidRPr="007E6AD1" w:rsidTr="00CC21F3">
        <w:tc>
          <w:tcPr>
            <w:tcW w:w="9740" w:type="dxa"/>
          </w:tcPr>
          <w:p w:rsidR="008B6902" w:rsidRPr="007E6AD1" w:rsidRDefault="008B6902" w:rsidP="008B6902">
            <w:pPr>
              <w:ind w:firstLine="708"/>
              <w:jc w:val="both"/>
              <w:rPr>
                <w:rFonts w:ascii="Arial" w:eastAsia="Calibri" w:hAnsi="Arial" w:cs="Arial"/>
                <w:color w:val="000000"/>
              </w:rPr>
            </w:pPr>
          </w:p>
          <w:p w:rsidR="009D3B04" w:rsidRPr="007E6AD1" w:rsidRDefault="008B6902" w:rsidP="008B6902">
            <w:pPr>
              <w:ind w:firstLine="708"/>
              <w:jc w:val="both"/>
              <w:rPr>
                <w:rFonts w:ascii="Arial" w:eastAsia="Calibri" w:hAnsi="Arial" w:cs="Arial"/>
              </w:rPr>
            </w:pPr>
            <w:r w:rsidRPr="007E6AD1">
              <w:rPr>
                <w:rFonts w:ascii="Arial" w:eastAsia="Calibri" w:hAnsi="Arial" w:cs="Arial"/>
                <w:color w:val="000000"/>
              </w:rPr>
              <w:t xml:space="preserve">Brindar los elementos fundamentales para que el estudiante pueda comprender  el sistema penal acusatorio colombiano, así como tener el dominio práctico del procedimiento penal, </w:t>
            </w:r>
            <w:r w:rsidRPr="007E6AD1">
              <w:rPr>
                <w:rFonts w:ascii="Arial" w:eastAsia="Calibri" w:hAnsi="Arial" w:cs="Arial"/>
              </w:rPr>
              <w:t>cumpliendo la rigurosidad que exigen las audiencias preliminares y de juicio, en los estrados judiciales del país.</w:t>
            </w:r>
          </w:p>
          <w:p w:rsidR="008B6902" w:rsidRPr="007E6AD1" w:rsidRDefault="008B6902" w:rsidP="008B6902">
            <w:pPr>
              <w:rPr>
                <w:rFonts w:ascii="Arial" w:hAnsi="Arial" w:cs="Arial"/>
              </w:rPr>
            </w:pPr>
          </w:p>
          <w:p w:rsidR="008B6902" w:rsidRPr="007E6AD1" w:rsidRDefault="008B6902" w:rsidP="008B6902">
            <w:pPr>
              <w:rPr>
                <w:rFonts w:ascii="Arial" w:hAnsi="Arial" w:cs="Arial"/>
              </w:rPr>
            </w:pPr>
            <w:r w:rsidRPr="007E6AD1">
              <w:rPr>
                <w:rFonts w:ascii="Arial" w:hAnsi="Arial" w:cs="Arial"/>
              </w:rPr>
              <w:t>O</w:t>
            </w:r>
            <w:r w:rsidR="007E6AD1">
              <w:rPr>
                <w:rFonts w:ascii="Arial" w:hAnsi="Arial" w:cs="Arial"/>
              </w:rPr>
              <w:t xml:space="preserve">bjetivo </w:t>
            </w:r>
            <w:r w:rsidRPr="007E6AD1">
              <w:rPr>
                <w:rFonts w:ascii="Arial" w:hAnsi="Arial" w:cs="Arial"/>
              </w:rPr>
              <w:t>E</w:t>
            </w:r>
            <w:r w:rsidR="007E6AD1">
              <w:rPr>
                <w:rFonts w:ascii="Arial" w:hAnsi="Arial" w:cs="Arial"/>
              </w:rPr>
              <w:t xml:space="preserve">specifico </w:t>
            </w:r>
          </w:p>
          <w:p w:rsidR="008B6902" w:rsidRPr="007E6AD1" w:rsidRDefault="008B6902" w:rsidP="008B6902">
            <w:pPr>
              <w:ind w:firstLine="705"/>
              <w:jc w:val="both"/>
              <w:rPr>
                <w:rFonts w:ascii="Arial" w:eastAsia="Calibri" w:hAnsi="Arial" w:cs="Arial"/>
              </w:rPr>
            </w:pPr>
            <w:r w:rsidRPr="007E6AD1">
              <w:rPr>
                <w:rFonts w:ascii="Arial" w:eastAsia="Calibri" w:hAnsi="Arial" w:cs="Arial"/>
              </w:rPr>
              <w:t>A través de la práctica en la sala de audiencias, adquirir los conocimientos, así como las competencias y técnicas necesarias para fungir como Juez, Fiscal, Ministerio Público o Defensa, de acuerdo al juego de roles.</w:t>
            </w:r>
          </w:p>
          <w:p w:rsidR="008B6902" w:rsidRPr="007E6AD1" w:rsidRDefault="008B6902" w:rsidP="008B6902">
            <w:pPr>
              <w:ind w:firstLine="705"/>
              <w:jc w:val="both"/>
              <w:rPr>
                <w:rFonts w:ascii="Arial" w:eastAsia="Calibri" w:hAnsi="Arial" w:cs="Arial"/>
              </w:rPr>
            </w:pP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CC21F3">
        <w:tc>
          <w:tcPr>
            <w:tcW w:w="9740" w:type="dxa"/>
            <w:shd w:val="clear" w:color="auto" w:fill="365F91" w:themeFill="accent1" w:themeFillShade="BF"/>
          </w:tcPr>
          <w:p w:rsidR="009D3B04" w:rsidRPr="007E6AD1" w:rsidRDefault="009D3B04" w:rsidP="00CC21F3">
            <w:pPr>
              <w:rPr>
                <w:rFonts w:ascii="Arial" w:hAnsi="Arial" w:cs="Arial"/>
                <w:b/>
                <w:color w:val="0F243E" w:themeColor="text2" w:themeShade="80"/>
              </w:rPr>
            </w:pPr>
            <w:r w:rsidRPr="007E6AD1">
              <w:rPr>
                <w:rFonts w:ascii="Arial" w:hAnsi="Arial" w:cs="Arial"/>
                <w:b/>
                <w:color w:val="FFFFFF" w:themeColor="background1"/>
              </w:rPr>
              <w:t>METAS DE APRENDIZAJE:</w:t>
            </w:r>
          </w:p>
        </w:tc>
      </w:tr>
      <w:tr w:rsidR="009D3B04" w:rsidRPr="007E6AD1" w:rsidTr="00CC21F3">
        <w:tc>
          <w:tcPr>
            <w:tcW w:w="9740" w:type="dxa"/>
          </w:tcPr>
          <w:p w:rsidR="008B6902" w:rsidRPr="007E6AD1" w:rsidRDefault="008B6902" w:rsidP="008B6902">
            <w:pPr>
              <w:ind w:left="720"/>
              <w:contextualSpacing/>
              <w:rPr>
                <w:rFonts w:ascii="Arial" w:hAnsi="Arial" w:cs="Arial"/>
                <w:color w:val="0F243E" w:themeColor="text2" w:themeShade="80"/>
              </w:rPr>
            </w:pPr>
          </w:p>
          <w:p w:rsidR="008B6902" w:rsidRPr="007E6AD1" w:rsidRDefault="007E6AD1" w:rsidP="008B6902">
            <w:pPr>
              <w:ind w:left="720"/>
              <w:contextualSpacing/>
              <w:rPr>
                <w:rFonts w:ascii="Arial" w:hAnsi="Arial" w:cs="Arial"/>
              </w:rPr>
            </w:pPr>
            <w:r>
              <w:rPr>
                <w:rFonts w:ascii="Arial" w:hAnsi="Arial" w:cs="Arial"/>
              </w:rPr>
              <w:t>R</w:t>
            </w:r>
            <w:r w:rsidRPr="007E6AD1">
              <w:rPr>
                <w:rFonts w:ascii="Arial" w:hAnsi="Arial" w:cs="Arial"/>
              </w:rPr>
              <w:t>elación asignatura con la materia modular, el centro de interés y el eje temático del módulo penal</w:t>
            </w:r>
          </w:p>
          <w:p w:rsidR="008B6902" w:rsidRPr="007E6AD1" w:rsidRDefault="008B6902" w:rsidP="008B6902">
            <w:pPr>
              <w:rPr>
                <w:rFonts w:ascii="Arial" w:hAnsi="Arial" w:cs="Arial"/>
              </w:rPr>
            </w:pPr>
          </w:p>
          <w:p w:rsidR="008B6902" w:rsidRPr="007E6AD1" w:rsidRDefault="007E6AD1" w:rsidP="008B6902">
            <w:pPr>
              <w:jc w:val="both"/>
              <w:rPr>
                <w:rFonts w:ascii="Arial" w:hAnsi="Arial" w:cs="Arial"/>
              </w:rPr>
            </w:pPr>
            <w:r>
              <w:rPr>
                <w:rFonts w:ascii="Arial" w:hAnsi="Arial" w:cs="Arial"/>
              </w:rPr>
              <w:t>Materia Modular</w:t>
            </w:r>
            <w:r w:rsidR="008B6902" w:rsidRPr="007E6AD1">
              <w:rPr>
                <w:rFonts w:ascii="Arial" w:hAnsi="Arial" w:cs="Arial"/>
              </w:rPr>
              <w:t xml:space="preserve">: La asignatura enmarcada en el contexto de un Estado Social y Democrático de Derecho, busca que los distintos comportamientos sociales que se tornan conflictivos se materialicen en conductas punibles, es decir, que el sistema jurídico se entienda como el control social de las conductas desviadas, para con ello, poder encontrar soluciones a los diferentes conflictos y así </w:t>
            </w:r>
            <w:r w:rsidR="008B6902" w:rsidRPr="007E6AD1">
              <w:rPr>
                <w:rFonts w:ascii="Arial" w:hAnsi="Arial" w:cs="Arial"/>
              </w:rPr>
              <w:lastRenderedPageBreak/>
              <w:t>garantizar los derechos constitucionales del individuo.</w:t>
            </w:r>
          </w:p>
          <w:p w:rsidR="008B6902" w:rsidRPr="007E6AD1" w:rsidRDefault="008B6902" w:rsidP="008B6902">
            <w:pPr>
              <w:jc w:val="both"/>
              <w:rPr>
                <w:rFonts w:ascii="Arial" w:hAnsi="Arial" w:cs="Arial"/>
              </w:rPr>
            </w:pPr>
            <w:r w:rsidRPr="007E6AD1">
              <w:rPr>
                <w:rFonts w:ascii="Arial" w:hAnsi="Arial" w:cs="Arial"/>
              </w:rPr>
              <w:t xml:space="preserve">  </w:t>
            </w:r>
          </w:p>
          <w:p w:rsidR="008B6902" w:rsidRPr="007E6AD1" w:rsidRDefault="007E6AD1" w:rsidP="008B6902">
            <w:pPr>
              <w:jc w:val="both"/>
              <w:rPr>
                <w:rFonts w:ascii="Arial" w:hAnsi="Arial" w:cs="Arial"/>
              </w:rPr>
            </w:pPr>
            <w:r>
              <w:rPr>
                <w:rFonts w:ascii="Arial" w:hAnsi="Arial" w:cs="Arial"/>
              </w:rPr>
              <w:t>C</w:t>
            </w:r>
            <w:r w:rsidRPr="007E6AD1">
              <w:rPr>
                <w:rFonts w:ascii="Arial" w:hAnsi="Arial" w:cs="Arial"/>
              </w:rPr>
              <w:t>entro de interés</w:t>
            </w:r>
            <w:r w:rsidR="008B6902" w:rsidRPr="007E6AD1">
              <w:rPr>
                <w:rFonts w:ascii="Arial" w:hAnsi="Arial" w:cs="Arial"/>
              </w:rPr>
              <w:t>: Se tiene en cuenta el bien común y con él los bienes jurídicos tutelados, los cuales se manifiestan por encima del estado y de la sociedad, por cuanto están intrínsecos en el ser humano, es decir, que para desarrollar los fundamentos teóricos de lo que sería una conducta punible se debe comprender la protección que el legislador a que querido brindar al ciudadano.</w:t>
            </w:r>
          </w:p>
          <w:p w:rsidR="008B6902" w:rsidRPr="007E6AD1" w:rsidRDefault="008B6902" w:rsidP="008B6902">
            <w:pPr>
              <w:jc w:val="both"/>
              <w:rPr>
                <w:rFonts w:ascii="Arial" w:hAnsi="Arial" w:cs="Arial"/>
              </w:rPr>
            </w:pPr>
          </w:p>
          <w:p w:rsidR="009D3B04" w:rsidRPr="007E6AD1" w:rsidRDefault="007E6AD1" w:rsidP="008B6902">
            <w:pPr>
              <w:jc w:val="both"/>
              <w:rPr>
                <w:rFonts w:ascii="Arial" w:hAnsi="Arial" w:cs="Arial"/>
              </w:rPr>
            </w:pPr>
            <w:r>
              <w:rPr>
                <w:rFonts w:ascii="Arial" w:hAnsi="Arial" w:cs="Arial"/>
              </w:rPr>
              <w:t>E</w:t>
            </w:r>
            <w:r w:rsidRPr="007E6AD1">
              <w:rPr>
                <w:rFonts w:ascii="Arial" w:hAnsi="Arial" w:cs="Arial"/>
              </w:rPr>
              <w:t>je temático</w:t>
            </w:r>
            <w:r w:rsidR="008B6902" w:rsidRPr="007E6AD1">
              <w:rPr>
                <w:rFonts w:ascii="Arial" w:hAnsi="Arial" w:cs="Arial"/>
              </w:rPr>
              <w:t>: Es aquí donde se busca que el estudiante aplique los conceptos teóricos adquiridos, puesto que se busca encontrar los diferentes criterios de validez de la norma penal, así como los mecanismos de interpretación de la misma, para que con ello se genere una realidad jurídica aplicable en el desarrollo profesional.</w:t>
            </w:r>
          </w:p>
          <w:p w:rsidR="008B6902" w:rsidRPr="007E6AD1" w:rsidRDefault="008B6902" w:rsidP="008B6902">
            <w:pPr>
              <w:jc w:val="both"/>
              <w:rPr>
                <w:rFonts w:ascii="Arial" w:hAnsi="Arial" w:cs="Arial"/>
              </w:rPr>
            </w:pP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CC21F3">
        <w:tc>
          <w:tcPr>
            <w:tcW w:w="9740" w:type="dxa"/>
            <w:shd w:val="clear" w:color="auto" w:fill="365F91" w:themeFill="accent1" w:themeFillShade="BF"/>
          </w:tcPr>
          <w:p w:rsidR="009D3B04" w:rsidRPr="007E6AD1" w:rsidRDefault="009D3B04" w:rsidP="00CC21F3">
            <w:pPr>
              <w:rPr>
                <w:rFonts w:ascii="Arial" w:hAnsi="Arial" w:cs="Arial"/>
                <w:b/>
                <w:color w:val="0F243E" w:themeColor="text2" w:themeShade="80"/>
              </w:rPr>
            </w:pPr>
            <w:r w:rsidRPr="007E6AD1">
              <w:rPr>
                <w:rFonts w:ascii="Arial" w:hAnsi="Arial" w:cs="Arial"/>
                <w:b/>
                <w:color w:val="FFFFFF" w:themeColor="background1"/>
              </w:rPr>
              <w:t>PROBLEMAS A RESOLVER:</w:t>
            </w:r>
          </w:p>
        </w:tc>
      </w:tr>
      <w:tr w:rsidR="009D3B04" w:rsidRPr="007E6AD1" w:rsidTr="00CC21F3">
        <w:tc>
          <w:tcPr>
            <w:tcW w:w="9740" w:type="dxa"/>
          </w:tcPr>
          <w:p w:rsidR="009D3B04" w:rsidRPr="007E6AD1" w:rsidRDefault="009D3B04" w:rsidP="00CC21F3">
            <w:pPr>
              <w:rPr>
                <w:rFonts w:ascii="Arial" w:hAnsi="Arial" w:cs="Arial"/>
                <w:color w:val="0F243E" w:themeColor="text2" w:themeShade="80"/>
              </w:rPr>
            </w:pPr>
          </w:p>
          <w:p w:rsidR="009D3B04" w:rsidRPr="007E6AD1" w:rsidRDefault="00524765" w:rsidP="00C83808">
            <w:pPr>
              <w:jc w:val="both"/>
              <w:rPr>
                <w:rFonts w:ascii="Arial" w:hAnsi="Arial" w:cs="Arial"/>
              </w:rPr>
            </w:pPr>
            <w:r w:rsidRPr="007E6AD1">
              <w:rPr>
                <w:rFonts w:ascii="Arial" w:hAnsi="Arial" w:cs="Arial"/>
              </w:rPr>
              <w:t xml:space="preserve">A partir de casos prácticos se busca problematizar la información aportada, así las cosas </w:t>
            </w:r>
            <w:r w:rsidR="00C83808" w:rsidRPr="007E6AD1">
              <w:rPr>
                <w:rFonts w:ascii="Arial" w:hAnsi="Arial" w:cs="Arial"/>
              </w:rPr>
              <w:t>a través de técnicas como el estudio de casos</w:t>
            </w:r>
            <w:r w:rsidRPr="007E6AD1">
              <w:rPr>
                <w:rFonts w:ascii="Arial" w:hAnsi="Arial" w:cs="Arial"/>
              </w:rPr>
              <w:t xml:space="preserve"> reales y simulados</w:t>
            </w:r>
            <w:r w:rsidR="00C83808" w:rsidRPr="007E6AD1">
              <w:rPr>
                <w:rFonts w:ascii="Arial" w:hAnsi="Arial" w:cs="Arial"/>
              </w:rPr>
              <w:t>, juego de roles, debates, mesas redondas, foros, entre otros, se logra</w:t>
            </w:r>
            <w:r w:rsidRPr="007E6AD1">
              <w:rPr>
                <w:rFonts w:ascii="Arial" w:hAnsi="Arial" w:cs="Arial"/>
              </w:rPr>
              <w:t xml:space="preserve"> integrar la </w:t>
            </w:r>
            <w:r w:rsidR="00C83808" w:rsidRPr="007E6AD1">
              <w:rPr>
                <w:rFonts w:ascii="Arial" w:hAnsi="Arial" w:cs="Arial"/>
              </w:rPr>
              <w:t xml:space="preserve">teoría </w:t>
            </w:r>
            <w:r w:rsidRPr="007E6AD1">
              <w:rPr>
                <w:rFonts w:ascii="Arial" w:hAnsi="Arial" w:cs="Arial"/>
              </w:rPr>
              <w:t xml:space="preserve">y la </w:t>
            </w:r>
            <w:r w:rsidR="00C83808" w:rsidRPr="007E6AD1">
              <w:rPr>
                <w:rFonts w:ascii="Arial" w:hAnsi="Arial" w:cs="Arial"/>
              </w:rPr>
              <w:t>práctica</w:t>
            </w:r>
            <w:r w:rsidRPr="007E6AD1">
              <w:rPr>
                <w:rFonts w:ascii="Arial" w:hAnsi="Arial" w:cs="Arial"/>
              </w:rPr>
              <w:t xml:space="preserve">, como resultado tenemos un </w:t>
            </w:r>
            <w:r w:rsidR="00C83808" w:rsidRPr="007E6AD1">
              <w:rPr>
                <w:rFonts w:ascii="Arial" w:hAnsi="Arial" w:cs="Arial"/>
              </w:rPr>
              <w:t xml:space="preserve">efectivo el aprendizaje.  </w:t>
            </w: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CC21F3">
        <w:tc>
          <w:tcPr>
            <w:tcW w:w="9740" w:type="dxa"/>
            <w:shd w:val="clear" w:color="auto" w:fill="365F91" w:themeFill="accent1" w:themeFillShade="BF"/>
          </w:tcPr>
          <w:p w:rsidR="009D3B04" w:rsidRPr="007E6AD1" w:rsidRDefault="009D3B04" w:rsidP="00CC21F3">
            <w:pPr>
              <w:rPr>
                <w:rFonts w:ascii="Arial" w:hAnsi="Arial" w:cs="Arial"/>
                <w:b/>
                <w:color w:val="0F243E" w:themeColor="text2" w:themeShade="80"/>
              </w:rPr>
            </w:pPr>
            <w:r w:rsidRPr="007E6AD1">
              <w:rPr>
                <w:rFonts w:ascii="Arial" w:hAnsi="Arial" w:cs="Arial"/>
                <w:b/>
                <w:color w:val="FFFFFF" w:themeColor="background1"/>
              </w:rPr>
              <w:t>COMPETENCIAS BÁSICAS / ESPECÍFICAS/ ÉNFASIS:</w:t>
            </w:r>
          </w:p>
        </w:tc>
      </w:tr>
      <w:tr w:rsidR="009D3B04" w:rsidRPr="007E6AD1" w:rsidTr="00CC21F3">
        <w:tc>
          <w:tcPr>
            <w:tcW w:w="9740" w:type="dxa"/>
          </w:tcPr>
          <w:p w:rsidR="009D3B04" w:rsidRPr="007E6AD1" w:rsidRDefault="009D3B04" w:rsidP="00CC21F3">
            <w:pPr>
              <w:jc w:val="both"/>
              <w:rPr>
                <w:rFonts w:ascii="Arial" w:hAnsi="Arial" w:cs="Arial"/>
                <w:color w:val="0F243E" w:themeColor="text2" w:themeShade="80"/>
              </w:rPr>
            </w:pPr>
          </w:p>
          <w:p w:rsidR="00524765" w:rsidRPr="007E6AD1" w:rsidRDefault="00524765" w:rsidP="00524765">
            <w:pPr>
              <w:jc w:val="both"/>
              <w:rPr>
                <w:rFonts w:ascii="Arial" w:eastAsia="Calibri" w:hAnsi="Arial" w:cs="Arial"/>
                <w:i/>
              </w:rPr>
            </w:pPr>
            <w:r w:rsidRPr="007E6AD1">
              <w:rPr>
                <w:rFonts w:ascii="Arial" w:eastAsia="Calibri" w:hAnsi="Arial" w:cs="Arial"/>
                <w:i/>
              </w:rPr>
              <w:t>Recurso para la adquisición de la competencia cognoscitiva.</w:t>
            </w:r>
          </w:p>
          <w:p w:rsidR="00524765" w:rsidRPr="007E6AD1" w:rsidRDefault="00524765" w:rsidP="00524765">
            <w:pPr>
              <w:jc w:val="both"/>
              <w:rPr>
                <w:rFonts w:ascii="Arial" w:eastAsia="Calibri" w:hAnsi="Arial" w:cs="Arial"/>
              </w:rPr>
            </w:pPr>
            <w:r w:rsidRPr="007E6AD1">
              <w:rPr>
                <w:rFonts w:ascii="Arial" w:eastAsia="Calibri" w:hAnsi="Arial" w:cs="Arial"/>
              </w:rPr>
              <w:t>Lectura de textos indicados y de todos aquellos que se le relacionen y amplíen su conocimiento al particular.</w:t>
            </w:r>
          </w:p>
          <w:p w:rsidR="00524765" w:rsidRPr="007E6AD1" w:rsidRDefault="00524765" w:rsidP="00524765">
            <w:pPr>
              <w:jc w:val="both"/>
              <w:rPr>
                <w:rFonts w:ascii="Arial" w:eastAsia="Calibri" w:hAnsi="Arial" w:cs="Arial"/>
                <w:b/>
              </w:rPr>
            </w:pPr>
            <w:r w:rsidRPr="007E6AD1">
              <w:rPr>
                <w:rFonts w:ascii="Arial" w:eastAsia="Calibri" w:hAnsi="Arial" w:cs="Arial"/>
              </w:rPr>
              <w:t xml:space="preserve">                               </w:t>
            </w:r>
          </w:p>
          <w:p w:rsidR="00524765" w:rsidRPr="007E6AD1" w:rsidRDefault="00524765" w:rsidP="00524765">
            <w:pPr>
              <w:jc w:val="both"/>
              <w:rPr>
                <w:rFonts w:ascii="Arial" w:eastAsia="Calibri" w:hAnsi="Arial" w:cs="Arial"/>
                <w:i/>
              </w:rPr>
            </w:pPr>
            <w:r w:rsidRPr="007E6AD1">
              <w:rPr>
                <w:rFonts w:ascii="Arial" w:eastAsia="Calibri" w:hAnsi="Arial" w:cs="Arial"/>
                <w:i/>
              </w:rPr>
              <w:t>Recursos para reforzar la adquisición  d</w:t>
            </w:r>
            <w:r w:rsidR="007E6AD1">
              <w:rPr>
                <w:rFonts w:ascii="Arial" w:eastAsia="Calibri" w:hAnsi="Arial" w:cs="Arial"/>
                <w:i/>
              </w:rPr>
              <w:t>e la competencia interpretativa</w:t>
            </w:r>
          </w:p>
          <w:p w:rsidR="00524765" w:rsidRPr="007E6AD1" w:rsidRDefault="00524765" w:rsidP="00524765">
            <w:pPr>
              <w:jc w:val="both"/>
              <w:rPr>
                <w:rFonts w:ascii="Arial" w:eastAsia="Calibri" w:hAnsi="Arial" w:cs="Arial"/>
              </w:rPr>
            </w:pPr>
            <w:r w:rsidRPr="007E6AD1">
              <w:rPr>
                <w:rFonts w:ascii="Arial" w:eastAsia="Calibri" w:hAnsi="Arial" w:cs="Arial"/>
              </w:rPr>
              <w:t>La lectura analítica y crítica de obras o textos escogidos</w:t>
            </w:r>
          </w:p>
          <w:p w:rsidR="00524765" w:rsidRPr="007E6AD1" w:rsidRDefault="00524765" w:rsidP="00524765">
            <w:pPr>
              <w:jc w:val="both"/>
              <w:rPr>
                <w:rFonts w:ascii="Arial" w:eastAsia="Calibri" w:hAnsi="Arial" w:cs="Arial"/>
              </w:rPr>
            </w:pPr>
            <w:r w:rsidRPr="007E6AD1">
              <w:rPr>
                <w:rFonts w:ascii="Arial" w:eastAsia="Calibri" w:hAnsi="Arial" w:cs="Arial"/>
              </w:rPr>
              <w:t>Ejercicios</w:t>
            </w:r>
            <w:r w:rsidRPr="007E6AD1">
              <w:rPr>
                <w:rFonts w:ascii="Arial" w:eastAsia="Calibri" w:hAnsi="Arial" w:cs="Arial"/>
                <w:b/>
              </w:rPr>
              <w:t xml:space="preserve"> </w:t>
            </w:r>
            <w:r w:rsidRPr="007E6AD1">
              <w:rPr>
                <w:rFonts w:ascii="Arial" w:eastAsia="Calibri" w:hAnsi="Arial" w:cs="Arial"/>
              </w:rPr>
              <w:t xml:space="preserve">de comprensión de nuestra realidad </w:t>
            </w:r>
          </w:p>
          <w:p w:rsidR="00524765" w:rsidRPr="007E6AD1" w:rsidRDefault="00524765" w:rsidP="00524765">
            <w:pPr>
              <w:jc w:val="both"/>
              <w:rPr>
                <w:rFonts w:ascii="Arial" w:eastAsia="Calibri" w:hAnsi="Arial" w:cs="Arial"/>
              </w:rPr>
            </w:pPr>
          </w:p>
          <w:p w:rsidR="00524765" w:rsidRPr="007E6AD1" w:rsidRDefault="00524765" w:rsidP="00524765">
            <w:pPr>
              <w:jc w:val="both"/>
              <w:rPr>
                <w:rFonts w:ascii="Arial" w:eastAsia="Calibri" w:hAnsi="Arial" w:cs="Arial"/>
                <w:i/>
              </w:rPr>
            </w:pPr>
            <w:r w:rsidRPr="007E6AD1">
              <w:rPr>
                <w:rFonts w:ascii="Arial" w:eastAsia="Calibri" w:hAnsi="Arial" w:cs="Arial"/>
                <w:i/>
              </w:rPr>
              <w:t>Recursos para fomentar  la competencia propositiva:</w:t>
            </w:r>
          </w:p>
          <w:p w:rsidR="00524765" w:rsidRPr="007E6AD1" w:rsidRDefault="00524765" w:rsidP="00524765">
            <w:pPr>
              <w:jc w:val="both"/>
              <w:rPr>
                <w:rFonts w:ascii="Arial" w:eastAsia="Calibri" w:hAnsi="Arial" w:cs="Arial"/>
              </w:rPr>
            </w:pPr>
            <w:r w:rsidRPr="007E6AD1">
              <w:rPr>
                <w:rFonts w:ascii="Arial" w:eastAsia="Calibri" w:hAnsi="Arial" w:cs="Arial"/>
              </w:rPr>
              <w:t>Realización de debates y discusiones de los temas presentados.</w:t>
            </w:r>
          </w:p>
          <w:p w:rsidR="00524765" w:rsidRPr="007E6AD1" w:rsidRDefault="00524765" w:rsidP="00524765">
            <w:pPr>
              <w:jc w:val="both"/>
              <w:rPr>
                <w:rFonts w:ascii="Arial" w:eastAsia="Calibri" w:hAnsi="Arial" w:cs="Arial"/>
              </w:rPr>
            </w:pPr>
          </w:p>
          <w:p w:rsidR="00524765" w:rsidRPr="007E6AD1" w:rsidRDefault="00524765" w:rsidP="00524765">
            <w:pPr>
              <w:jc w:val="both"/>
              <w:rPr>
                <w:rFonts w:ascii="Arial" w:eastAsia="Calibri" w:hAnsi="Arial" w:cs="Arial"/>
                <w:i/>
              </w:rPr>
            </w:pPr>
            <w:r w:rsidRPr="007E6AD1">
              <w:rPr>
                <w:rFonts w:ascii="Arial" w:eastAsia="Calibri" w:hAnsi="Arial" w:cs="Arial"/>
                <w:i/>
              </w:rPr>
              <w:t>Recursos para fomentar  la competencia  argumentativa:</w:t>
            </w:r>
          </w:p>
          <w:p w:rsidR="00524765" w:rsidRPr="007E6AD1" w:rsidRDefault="00524765" w:rsidP="00524765">
            <w:pPr>
              <w:jc w:val="both"/>
              <w:rPr>
                <w:rFonts w:ascii="Arial" w:eastAsia="Calibri" w:hAnsi="Arial" w:cs="Arial"/>
              </w:rPr>
            </w:pPr>
            <w:r w:rsidRPr="007E6AD1">
              <w:rPr>
                <w:rFonts w:ascii="Arial" w:eastAsia="Calibri" w:hAnsi="Arial" w:cs="Arial"/>
              </w:rPr>
              <w:t xml:space="preserve">Propiciar disertaciones en las cuales se esgriman fundamentos lógicos. </w:t>
            </w:r>
          </w:p>
          <w:p w:rsidR="009D3B04" w:rsidRPr="007E6AD1" w:rsidRDefault="00524765" w:rsidP="007E6AD1">
            <w:pPr>
              <w:jc w:val="both"/>
              <w:rPr>
                <w:rFonts w:ascii="Arial" w:eastAsia="Calibri" w:hAnsi="Arial" w:cs="Arial"/>
              </w:rPr>
            </w:pPr>
            <w:r w:rsidRPr="007E6AD1">
              <w:rPr>
                <w:rFonts w:ascii="Arial" w:eastAsia="Calibri" w:hAnsi="Arial" w:cs="Arial"/>
              </w:rPr>
              <w:t>Fomentar la contra argumentación frente a los argumentos planteados por otros.</w:t>
            </w: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CC21F3">
        <w:tc>
          <w:tcPr>
            <w:tcW w:w="9740" w:type="dxa"/>
            <w:shd w:val="clear" w:color="auto" w:fill="365F91" w:themeFill="accent1" w:themeFillShade="BF"/>
          </w:tcPr>
          <w:p w:rsidR="009D3B04" w:rsidRPr="007E6AD1" w:rsidRDefault="009D3B04" w:rsidP="00CC21F3">
            <w:pPr>
              <w:rPr>
                <w:rFonts w:ascii="Arial" w:hAnsi="Arial" w:cs="Arial"/>
                <w:b/>
                <w:color w:val="0F243E" w:themeColor="text2" w:themeShade="80"/>
              </w:rPr>
            </w:pPr>
            <w:r w:rsidRPr="007E6AD1">
              <w:rPr>
                <w:rFonts w:ascii="Arial" w:hAnsi="Arial" w:cs="Arial"/>
                <w:b/>
                <w:color w:val="FFFFFF" w:themeColor="background1"/>
              </w:rPr>
              <w:t>DISCIPLINAS QUE SE INTEGRAN:</w:t>
            </w:r>
          </w:p>
        </w:tc>
      </w:tr>
      <w:tr w:rsidR="009D3B04" w:rsidRPr="007E6AD1" w:rsidTr="00CC21F3">
        <w:tc>
          <w:tcPr>
            <w:tcW w:w="9740" w:type="dxa"/>
          </w:tcPr>
          <w:p w:rsidR="007E6AD1" w:rsidRDefault="007E6AD1" w:rsidP="00C83808">
            <w:pPr>
              <w:pStyle w:val="Prrafodelista"/>
              <w:rPr>
                <w:rFonts w:ascii="Arial" w:hAnsi="Arial" w:cs="Arial"/>
                <w:color w:val="C00000"/>
                <w:sz w:val="24"/>
                <w:szCs w:val="24"/>
                <w:lang w:val="es-ES"/>
              </w:rPr>
            </w:pPr>
          </w:p>
          <w:p w:rsidR="007E6AD1" w:rsidRPr="007E6AD1" w:rsidRDefault="007E6AD1" w:rsidP="00C83808">
            <w:pPr>
              <w:pStyle w:val="Prrafodelista"/>
              <w:rPr>
                <w:rFonts w:ascii="Arial" w:hAnsi="Arial" w:cs="Arial"/>
                <w:sz w:val="24"/>
                <w:szCs w:val="24"/>
              </w:rPr>
            </w:pPr>
            <w:r w:rsidRPr="007E6AD1">
              <w:rPr>
                <w:rFonts w:ascii="Arial" w:hAnsi="Arial" w:cs="Arial"/>
                <w:sz w:val="24"/>
                <w:szCs w:val="24"/>
              </w:rPr>
              <w:t xml:space="preserve">En esta materia se integran, articulan y se correlaciona la temática con </w:t>
            </w:r>
            <w:r w:rsidRPr="007E6AD1">
              <w:rPr>
                <w:rFonts w:ascii="Arial" w:hAnsi="Arial" w:cs="Arial"/>
                <w:sz w:val="24"/>
                <w:szCs w:val="24"/>
              </w:rPr>
              <w:lastRenderedPageBreak/>
              <w:t>otras disciplinas o áreas del conocimiento. A saber:</w:t>
            </w:r>
          </w:p>
          <w:p w:rsidR="00524765" w:rsidRPr="007E6AD1" w:rsidRDefault="00524765" w:rsidP="00C83808">
            <w:pPr>
              <w:pStyle w:val="Prrafodelista"/>
              <w:rPr>
                <w:rFonts w:ascii="Arial" w:hAnsi="Arial" w:cs="Arial"/>
                <w:sz w:val="24"/>
                <w:szCs w:val="24"/>
              </w:rPr>
            </w:pPr>
            <w:r w:rsidRPr="007E6AD1">
              <w:rPr>
                <w:rFonts w:ascii="Arial" w:hAnsi="Arial" w:cs="Arial"/>
                <w:sz w:val="24"/>
                <w:szCs w:val="24"/>
              </w:rPr>
              <w:t>Derecho Procesal penal, Derecho Penal, Derecho Penal Especial</w:t>
            </w:r>
          </w:p>
          <w:p w:rsidR="00524765" w:rsidRPr="007E6AD1" w:rsidRDefault="00524765" w:rsidP="00C83808">
            <w:pPr>
              <w:pStyle w:val="Prrafodelista"/>
              <w:rPr>
                <w:rFonts w:ascii="Arial" w:hAnsi="Arial" w:cs="Arial"/>
                <w:sz w:val="24"/>
                <w:szCs w:val="24"/>
              </w:rPr>
            </w:pPr>
            <w:r w:rsidRPr="007E6AD1">
              <w:rPr>
                <w:rFonts w:ascii="Arial" w:hAnsi="Arial" w:cs="Arial"/>
                <w:sz w:val="24"/>
                <w:szCs w:val="24"/>
              </w:rPr>
              <w:t xml:space="preserve">Derecho Penal Internacional </w:t>
            </w:r>
          </w:p>
          <w:p w:rsidR="00524765" w:rsidRPr="007E6AD1" w:rsidRDefault="00524765" w:rsidP="00C83808">
            <w:pPr>
              <w:pStyle w:val="Prrafodelista"/>
              <w:rPr>
                <w:rFonts w:ascii="Arial" w:hAnsi="Arial" w:cs="Arial"/>
                <w:sz w:val="24"/>
                <w:szCs w:val="24"/>
              </w:rPr>
            </w:pPr>
            <w:r w:rsidRPr="007E6AD1">
              <w:rPr>
                <w:rFonts w:ascii="Arial" w:hAnsi="Arial" w:cs="Arial"/>
                <w:sz w:val="24"/>
                <w:szCs w:val="24"/>
              </w:rPr>
              <w:t>Derecho Internacional de los Derechos Humanos</w:t>
            </w:r>
          </w:p>
          <w:p w:rsidR="007E6AD1" w:rsidRPr="007E6AD1" w:rsidRDefault="007E6AD1" w:rsidP="00C83808">
            <w:pPr>
              <w:pStyle w:val="Prrafodelista"/>
              <w:rPr>
                <w:rFonts w:ascii="Arial" w:hAnsi="Arial" w:cs="Arial"/>
                <w:sz w:val="24"/>
                <w:szCs w:val="24"/>
              </w:rPr>
            </w:pPr>
            <w:r w:rsidRPr="007E6AD1">
              <w:rPr>
                <w:rFonts w:ascii="Arial" w:hAnsi="Arial" w:cs="Arial"/>
                <w:sz w:val="24"/>
                <w:szCs w:val="24"/>
              </w:rPr>
              <w:t>Derecho Internacional Humanitario</w:t>
            </w:r>
          </w:p>
          <w:p w:rsidR="007E6AD1" w:rsidRPr="007E6AD1" w:rsidRDefault="00C83808" w:rsidP="00C83808">
            <w:pPr>
              <w:pStyle w:val="Prrafodelista"/>
              <w:rPr>
                <w:rFonts w:ascii="Arial" w:hAnsi="Arial" w:cs="Arial"/>
                <w:sz w:val="24"/>
                <w:szCs w:val="24"/>
              </w:rPr>
            </w:pPr>
            <w:r w:rsidRPr="007E6AD1">
              <w:rPr>
                <w:rFonts w:ascii="Arial" w:hAnsi="Arial" w:cs="Arial"/>
                <w:sz w:val="24"/>
                <w:szCs w:val="24"/>
              </w:rPr>
              <w:t>Sociología</w:t>
            </w:r>
          </w:p>
          <w:p w:rsidR="007E6AD1" w:rsidRPr="007E6AD1" w:rsidRDefault="007E6AD1" w:rsidP="00C83808">
            <w:pPr>
              <w:pStyle w:val="Prrafodelista"/>
              <w:rPr>
                <w:rFonts w:ascii="Arial" w:hAnsi="Arial" w:cs="Arial"/>
                <w:sz w:val="24"/>
                <w:szCs w:val="24"/>
              </w:rPr>
            </w:pPr>
            <w:r w:rsidRPr="007E6AD1">
              <w:rPr>
                <w:rFonts w:ascii="Arial" w:hAnsi="Arial" w:cs="Arial"/>
                <w:sz w:val="24"/>
                <w:szCs w:val="24"/>
              </w:rPr>
              <w:t>F</w:t>
            </w:r>
            <w:r w:rsidR="00C83808" w:rsidRPr="007E6AD1">
              <w:rPr>
                <w:rFonts w:ascii="Arial" w:hAnsi="Arial" w:cs="Arial"/>
                <w:sz w:val="24"/>
                <w:szCs w:val="24"/>
              </w:rPr>
              <w:t>ilosofía</w:t>
            </w:r>
          </w:p>
          <w:p w:rsidR="007E6AD1" w:rsidRDefault="007E6AD1" w:rsidP="007E6AD1">
            <w:pPr>
              <w:pStyle w:val="Prrafodelista"/>
              <w:rPr>
                <w:rFonts w:ascii="Arial" w:hAnsi="Arial" w:cs="Arial"/>
                <w:sz w:val="24"/>
                <w:szCs w:val="24"/>
              </w:rPr>
            </w:pPr>
            <w:r w:rsidRPr="007E6AD1">
              <w:rPr>
                <w:rFonts w:ascii="Arial" w:hAnsi="Arial" w:cs="Arial"/>
                <w:sz w:val="24"/>
                <w:szCs w:val="24"/>
              </w:rPr>
              <w:t>P</w:t>
            </w:r>
            <w:r w:rsidR="00C83808" w:rsidRPr="007E6AD1">
              <w:rPr>
                <w:rFonts w:ascii="Arial" w:hAnsi="Arial" w:cs="Arial"/>
                <w:sz w:val="24"/>
                <w:szCs w:val="24"/>
              </w:rPr>
              <w:t xml:space="preserve">sicología </w:t>
            </w:r>
          </w:p>
          <w:p w:rsidR="00C83808" w:rsidRPr="007E6AD1" w:rsidRDefault="007E6AD1" w:rsidP="007E6AD1">
            <w:pPr>
              <w:pStyle w:val="Prrafodelista"/>
              <w:rPr>
                <w:rFonts w:ascii="Arial" w:hAnsi="Arial" w:cs="Arial"/>
                <w:color w:val="C00000"/>
                <w:sz w:val="24"/>
                <w:szCs w:val="24"/>
              </w:rPr>
            </w:pPr>
            <w:r>
              <w:rPr>
                <w:rFonts w:ascii="Arial" w:hAnsi="Arial" w:cs="Arial"/>
              </w:rPr>
              <w:t>Investigación</w:t>
            </w:r>
          </w:p>
        </w:tc>
      </w:tr>
    </w:tbl>
    <w:p w:rsidR="00B3659A" w:rsidRPr="007E6AD1"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CC21F3">
        <w:tc>
          <w:tcPr>
            <w:tcW w:w="9740" w:type="dxa"/>
            <w:shd w:val="clear" w:color="auto" w:fill="365F91" w:themeFill="accent1" w:themeFillShade="BF"/>
          </w:tcPr>
          <w:p w:rsidR="009D3B04" w:rsidRPr="007E6AD1" w:rsidRDefault="005307D9" w:rsidP="00CC21F3">
            <w:pPr>
              <w:rPr>
                <w:rFonts w:ascii="Arial" w:hAnsi="Arial" w:cs="Arial"/>
                <w:b/>
                <w:color w:val="0F243E" w:themeColor="text2" w:themeShade="80"/>
              </w:rPr>
            </w:pPr>
            <w:r w:rsidRPr="007E6AD1">
              <w:rPr>
                <w:rFonts w:ascii="Arial" w:hAnsi="Arial" w:cs="Arial"/>
                <w:b/>
                <w:color w:val="FFFFFF" w:themeColor="background1"/>
              </w:rPr>
              <w:t>CONTENIDOS PROGRAMÁTICOS:</w:t>
            </w:r>
          </w:p>
        </w:tc>
      </w:tr>
      <w:tr w:rsidR="009D3B04" w:rsidRPr="007E6AD1" w:rsidTr="005307D9">
        <w:trPr>
          <w:trHeight w:val="417"/>
        </w:trPr>
        <w:tc>
          <w:tcPr>
            <w:tcW w:w="9740" w:type="dxa"/>
          </w:tcPr>
          <w:p w:rsidR="009D3B04" w:rsidRPr="007E6AD1" w:rsidRDefault="009D3B04" w:rsidP="005307D9">
            <w:pPr>
              <w:rPr>
                <w:rFonts w:ascii="Arial" w:hAnsi="Arial" w:cs="Arial"/>
                <w:color w:val="0F243E" w:themeColor="text2" w:themeShade="80"/>
              </w:rPr>
            </w:pPr>
          </w:p>
          <w:p w:rsidR="008B6902" w:rsidRPr="007E6AD1" w:rsidRDefault="008B6902" w:rsidP="008B6902">
            <w:pPr>
              <w:jc w:val="both"/>
              <w:rPr>
                <w:rFonts w:ascii="Arial" w:hAnsi="Arial" w:cs="Arial"/>
              </w:rPr>
            </w:pPr>
            <w:r w:rsidRPr="007E6AD1">
              <w:rPr>
                <w:rFonts w:ascii="Arial" w:hAnsi="Arial" w:cs="Arial"/>
                <w:b/>
              </w:rPr>
              <w:t xml:space="preserve">UNIDAD  UNO </w:t>
            </w:r>
            <w:r w:rsidRPr="007E6AD1">
              <w:rPr>
                <w:rFonts w:ascii="Arial" w:hAnsi="Arial" w:cs="Arial"/>
              </w:rPr>
              <w:t xml:space="preserve"> </w:t>
            </w:r>
          </w:p>
          <w:p w:rsidR="008B6902" w:rsidRPr="007E6AD1" w:rsidRDefault="008B6902" w:rsidP="008B6902">
            <w:pPr>
              <w:jc w:val="both"/>
              <w:rPr>
                <w:rFonts w:ascii="Arial" w:eastAsia="Calibri" w:hAnsi="Arial" w:cs="Arial"/>
                <w:b/>
              </w:rPr>
            </w:pPr>
            <w:r w:rsidRPr="007E6AD1">
              <w:rPr>
                <w:rFonts w:ascii="Arial" w:eastAsia="Calibri" w:hAnsi="Arial" w:cs="Arial"/>
                <w:b/>
              </w:rPr>
              <w:t>A MODO INTRODUCTORIO – PRINCIPIOS DEL SISTEMA ACUSATORIO</w:t>
            </w:r>
          </w:p>
          <w:p w:rsidR="008B6902" w:rsidRPr="007E6AD1" w:rsidRDefault="008B6902" w:rsidP="008B6902">
            <w:pPr>
              <w:jc w:val="both"/>
              <w:rPr>
                <w:rFonts w:ascii="Arial" w:eastAsia="Calibri" w:hAnsi="Arial" w:cs="Arial"/>
                <w:b/>
              </w:rPr>
            </w:pPr>
          </w:p>
          <w:p w:rsidR="008B6902" w:rsidRPr="007E6AD1" w:rsidRDefault="008B6902" w:rsidP="008B6902">
            <w:pPr>
              <w:jc w:val="both"/>
              <w:rPr>
                <w:rFonts w:ascii="Arial" w:hAnsi="Arial" w:cs="Arial"/>
              </w:rPr>
            </w:pPr>
            <w:r w:rsidRPr="007E6AD1">
              <w:rPr>
                <w:rFonts w:ascii="Arial" w:hAnsi="Arial" w:cs="Arial"/>
              </w:rPr>
              <w:t>Naturaleza constitucional del procedimiento penal acusatorio a partir del acto legislativo No. 03 de 2002; y desde la perspectiva constitucional estudiar las características y principios rectores.</w:t>
            </w:r>
          </w:p>
          <w:p w:rsidR="008B6902" w:rsidRPr="007E6AD1" w:rsidRDefault="008B6902" w:rsidP="008B6902">
            <w:pPr>
              <w:autoSpaceDE w:val="0"/>
              <w:autoSpaceDN w:val="0"/>
              <w:adjustRightInd w:val="0"/>
              <w:jc w:val="both"/>
              <w:rPr>
                <w:rFonts w:ascii="Arial" w:hAnsi="Arial" w:cs="Arial"/>
              </w:rPr>
            </w:pPr>
            <w:r w:rsidRPr="007E6AD1">
              <w:rPr>
                <w:rFonts w:ascii="Arial" w:hAnsi="Arial" w:cs="Arial"/>
              </w:rPr>
              <w:t xml:space="preserve">Sistemas de enjuiciamiento inquisitivo y acusatorio, perfilados desde las aproximaciones históricas y políticas en que se aplican. </w:t>
            </w:r>
          </w:p>
          <w:p w:rsidR="008B6902" w:rsidRPr="007E6AD1" w:rsidRDefault="008B6902" w:rsidP="008B6902">
            <w:pPr>
              <w:autoSpaceDE w:val="0"/>
              <w:autoSpaceDN w:val="0"/>
              <w:adjustRightInd w:val="0"/>
              <w:jc w:val="both"/>
              <w:rPr>
                <w:rFonts w:ascii="Arial" w:hAnsi="Arial" w:cs="Arial"/>
              </w:rPr>
            </w:pPr>
            <w:r w:rsidRPr="007E6AD1">
              <w:rPr>
                <w:rFonts w:ascii="Arial" w:hAnsi="Arial" w:cs="Arial"/>
              </w:rPr>
              <w:t>Diferenciación respecto del sistema acusatorio con tendencia continental europeo, anglosajón, y sistema procesal penal colombiano.</w:t>
            </w:r>
          </w:p>
          <w:p w:rsidR="008B6902" w:rsidRPr="007E6AD1" w:rsidRDefault="008B6902" w:rsidP="008B6902">
            <w:pPr>
              <w:jc w:val="both"/>
              <w:rPr>
                <w:rFonts w:ascii="Arial" w:hAnsi="Arial" w:cs="Arial"/>
              </w:rPr>
            </w:pPr>
            <w:r w:rsidRPr="007E6AD1">
              <w:rPr>
                <w:rFonts w:ascii="Arial" w:hAnsi="Arial" w:cs="Arial"/>
              </w:rPr>
              <w:t xml:space="preserve">Principios </w:t>
            </w:r>
            <w:r w:rsidRPr="007E6AD1">
              <w:rPr>
                <w:rFonts w:ascii="Arial" w:hAnsi="Arial" w:cs="Arial"/>
                <w:color w:val="000000"/>
              </w:rPr>
              <w:t>Rectores y Garantías,</w:t>
            </w:r>
            <w:r w:rsidRPr="007E6AD1">
              <w:rPr>
                <w:rFonts w:ascii="Arial" w:hAnsi="Arial" w:cs="Arial"/>
              </w:rPr>
              <w:t xml:space="preserve"> Orgánicos y Procesales del sistema penal acusatorio</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Aspectos específicos de las normas rectoras.</w:t>
            </w:r>
          </w:p>
          <w:p w:rsidR="008B6902" w:rsidRPr="007E6AD1" w:rsidRDefault="008B6902" w:rsidP="008B6902">
            <w:pPr>
              <w:autoSpaceDE w:val="0"/>
              <w:autoSpaceDN w:val="0"/>
              <w:adjustRightInd w:val="0"/>
              <w:jc w:val="both"/>
              <w:rPr>
                <w:rFonts w:ascii="Arial" w:hAnsi="Arial" w:cs="Arial"/>
                <w:color w:val="000000"/>
              </w:rPr>
            </w:pPr>
          </w:p>
          <w:p w:rsidR="008B6902" w:rsidRPr="007E6AD1" w:rsidRDefault="008B6902" w:rsidP="008B6902">
            <w:pPr>
              <w:autoSpaceDE w:val="0"/>
              <w:autoSpaceDN w:val="0"/>
              <w:adjustRightInd w:val="0"/>
              <w:jc w:val="both"/>
              <w:rPr>
                <w:rFonts w:ascii="Arial" w:hAnsi="Arial" w:cs="Arial"/>
                <w:b/>
                <w:color w:val="000000"/>
              </w:rPr>
            </w:pPr>
            <w:r w:rsidRPr="007E6AD1">
              <w:rPr>
                <w:rFonts w:ascii="Arial" w:hAnsi="Arial" w:cs="Arial"/>
                <w:b/>
                <w:color w:val="000000"/>
              </w:rPr>
              <w:t>INSTITUCIONES DEL SISTEMA PENAL ACUSATORIO</w:t>
            </w:r>
          </w:p>
          <w:p w:rsidR="008B6902" w:rsidRPr="007E6AD1" w:rsidRDefault="008B6902" w:rsidP="008B6902">
            <w:pPr>
              <w:autoSpaceDE w:val="0"/>
              <w:autoSpaceDN w:val="0"/>
              <w:adjustRightInd w:val="0"/>
              <w:jc w:val="both"/>
              <w:rPr>
                <w:rFonts w:ascii="Arial" w:hAnsi="Arial" w:cs="Arial"/>
                <w:b/>
                <w:color w:val="000000"/>
              </w:rPr>
            </w:pP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Distinción entre funcionarios que investigan y acusan y los que juzgan</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La función de control de garantías</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Juicio Público, oral, contradictorio y concentrado</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Supresión del principio de permanencia de la prueba</w:t>
            </w:r>
          </w:p>
          <w:p w:rsidR="008B6902" w:rsidRPr="007E6AD1" w:rsidRDefault="008B6902" w:rsidP="008B6902">
            <w:pPr>
              <w:jc w:val="both"/>
              <w:rPr>
                <w:rFonts w:ascii="Arial" w:hAnsi="Arial" w:cs="Arial"/>
                <w:color w:val="000000"/>
              </w:rPr>
            </w:pPr>
            <w:r w:rsidRPr="007E6AD1">
              <w:rPr>
                <w:rFonts w:ascii="Arial" w:hAnsi="Arial" w:cs="Arial"/>
                <w:color w:val="000000"/>
              </w:rPr>
              <w:t>El principio de oportunidad</w:t>
            </w:r>
          </w:p>
          <w:p w:rsidR="008B6902" w:rsidRPr="007E6AD1" w:rsidRDefault="008B6902" w:rsidP="008B6902">
            <w:pPr>
              <w:jc w:val="both"/>
              <w:rPr>
                <w:rFonts w:ascii="Arial" w:hAnsi="Arial" w:cs="Arial"/>
              </w:rPr>
            </w:pPr>
          </w:p>
          <w:p w:rsidR="008B6902" w:rsidRPr="007E6AD1" w:rsidRDefault="008B6902" w:rsidP="008B6902">
            <w:pPr>
              <w:jc w:val="both"/>
              <w:rPr>
                <w:rFonts w:ascii="Arial" w:hAnsi="Arial" w:cs="Arial"/>
                <w:b/>
              </w:rPr>
            </w:pPr>
            <w:r w:rsidRPr="007E6AD1">
              <w:rPr>
                <w:rFonts w:ascii="Arial" w:hAnsi="Arial" w:cs="Arial"/>
                <w:b/>
              </w:rPr>
              <w:t xml:space="preserve">UNIDAD DOS </w:t>
            </w:r>
          </w:p>
          <w:p w:rsidR="008B6902" w:rsidRPr="007E6AD1" w:rsidRDefault="008B6902" w:rsidP="008B6902">
            <w:pPr>
              <w:autoSpaceDE w:val="0"/>
              <w:autoSpaceDN w:val="0"/>
              <w:adjustRightInd w:val="0"/>
              <w:jc w:val="both"/>
              <w:rPr>
                <w:rFonts w:ascii="Arial" w:hAnsi="Arial" w:cs="Arial"/>
                <w:b/>
                <w:color w:val="000000"/>
              </w:rPr>
            </w:pPr>
            <w:r w:rsidRPr="007E6AD1">
              <w:rPr>
                <w:rFonts w:ascii="Arial" w:hAnsi="Arial" w:cs="Arial"/>
                <w:b/>
                <w:color w:val="000000"/>
              </w:rPr>
              <w:t>PROCESO PENAL COLOMBIANO</w:t>
            </w:r>
          </w:p>
          <w:p w:rsidR="008B6902" w:rsidRPr="007E6AD1" w:rsidRDefault="008B6902" w:rsidP="008B6902">
            <w:pPr>
              <w:autoSpaceDE w:val="0"/>
              <w:autoSpaceDN w:val="0"/>
              <w:adjustRightInd w:val="0"/>
              <w:jc w:val="both"/>
              <w:rPr>
                <w:rFonts w:ascii="Arial" w:hAnsi="Arial" w:cs="Arial"/>
                <w:color w:val="000000"/>
              </w:rPr>
            </w:pP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Indagación</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Investigación</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Juicio</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Ejecución de penas y medidas de seguridad</w:t>
            </w:r>
          </w:p>
          <w:p w:rsidR="008B6902" w:rsidRPr="007E6AD1" w:rsidRDefault="008B6902" w:rsidP="008B6902">
            <w:pPr>
              <w:autoSpaceDE w:val="0"/>
              <w:autoSpaceDN w:val="0"/>
              <w:adjustRightInd w:val="0"/>
              <w:jc w:val="both"/>
              <w:rPr>
                <w:rFonts w:ascii="Arial" w:hAnsi="Arial" w:cs="Arial"/>
                <w:b/>
                <w:color w:val="000000"/>
              </w:rPr>
            </w:pPr>
            <w:r w:rsidRPr="007E6AD1">
              <w:rPr>
                <w:rFonts w:ascii="Arial" w:hAnsi="Arial" w:cs="Arial"/>
                <w:b/>
                <w:color w:val="000000"/>
              </w:rPr>
              <w:lastRenderedPageBreak/>
              <w:t>ROLES CONSTITUCIONALES</w:t>
            </w:r>
          </w:p>
          <w:p w:rsidR="008B6902" w:rsidRPr="007E6AD1" w:rsidRDefault="008B6902" w:rsidP="008B6902">
            <w:pPr>
              <w:autoSpaceDE w:val="0"/>
              <w:autoSpaceDN w:val="0"/>
              <w:adjustRightInd w:val="0"/>
              <w:jc w:val="both"/>
              <w:rPr>
                <w:rFonts w:ascii="Arial" w:hAnsi="Arial" w:cs="Arial"/>
                <w:b/>
                <w:color w:val="000000"/>
              </w:rPr>
            </w:pP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De las personas en la estructura del proceso penal acusatorio</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Rol de la Fiscalía</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Rol de la Defensa</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Rol del juez</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Rol de la víctima</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Rol del Ministerio Público</w:t>
            </w:r>
          </w:p>
          <w:p w:rsidR="008B6902" w:rsidRPr="007E6AD1" w:rsidRDefault="008B6902" w:rsidP="008B6902">
            <w:pPr>
              <w:jc w:val="both"/>
              <w:rPr>
                <w:rFonts w:ascii="Arial" w:hAnsi="Arial" w:cs="Arial"/>
                <w:b/>
              </w:rPr>
            </w:pPr>
          </w:p>
          <w:p w:rsidR="008B6902" w:rsidRPr="007E6AD1" w:rsidRDefault="008B6902" w:rsidP="008B6902">
            <w:pPr>
              <w:jc w:val="both"/>
              <w:rPr>
                <w:rFonts w:ascii="Arial" w:hAnsi="Arial" w:cs="Arial"/>
                <w:b/>
              </w:rPr>
            </w:pPr>
            <w:r w:rsidRPr="007E6AD1">
              <w:rPr>
                <w:rFonts w:ascii="Arial" w:hAnsi="Arial" w:cs="Arial"/>
                <w:b/>
              </w:rPr>
              <w:t>UNIDAD TRES</w:t>
            </w:r>
          </w:p>
          <w:p w:rsidR="008B6902" w:rsidRPr="007E6AD1" w:rsidRDefault="008B6902" w:rsidP="008B6902">
            <w:pPr>
              <w:autoSpaceDE w:val="0"/>
              <w:autoSpaceDN w:val="0"/>
              <w:adjustRightInd w:val="0"/>
              <w:jc w:val="both"/>
              <w:rPr>
                <w:rFonts w:ascii="Arial" w:hAnsi="Arial" w:cs="Arial"/>
                <w:b/>
                <w:color w:val="000000"/>
              </w:rPr>
            </w:pPr>
            <w:r w:rsidRPr="007E6AD1">
              <w:rPr>
                <w:rFonts w:ascii="Arial" w:hAnsi="Arial" w:cs="Arial"/>
                <w:b/>
                <w:color w:val="000000"/>
              </w:rPr>
              <w:t>ESTRUCTURA DEL PROCESO PENAL ACUSATORIO</w:t>
            </w:r>
          </w:p>
          <w:p w:rsidR="008B6902" w:rsidRPr="007E6AD1" w:rsidRDefault="008B6902" w:rsidP="008B6902">
            <w:pPr>
              <w:autoSpaceDE w:val="0"/>
              <w:autoSpaceDN w:val="0"/>
              <w:adjustRightInd w:val="0"/>
              <w:jc w:val="both"/>
              <w:rPr>
                <w:rFonts w:ascii="Arial" w:hAnsi="Arial" w:cs="Arial"/>
                <w:color w:val="000000"/>
              </w:rPr>
            </w:pP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Audiencias Preliminares</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Formas de Terminación del Proceso Penal</w:t>
            </w:r>
          </w:p>
          <w:p w:rsidR="008B6902" w:rsidRPr="007E6AD1" w:rsidRDefault="008B6902" w:rsidP="008B6902">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El archivo</w:t>
            </w:r>
          </w:p>
          <w:p w:rsidR="008B6902" w:rsidRPr="007E6AD1" w:rsidRDefault="008B6902" w:rsidP="008B6902">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La conciliación</w:t>
            </w:r>
          </w:p>
          <w:p w:rsidR="008B6902" w:rsidRPr="007E6AD1" w:rsidRDefault="008B6902" w:rsidP="008B6902">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El allanamiento a la imputación</w:t>
            </w:r>
          </w:p>
          <w:p w:rsidR="008B6902" w:rsidRPr="007E6AD1" w:rsidRDefault="008B6902" w:rsidP="008B6902">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Los preacuerdos</w:t>
            </w:r>
          </w:p>
          <w:p w:rsidR="008B6902" w:rsidRPr="007E6AD1" w:rsidRDefault="008B6902" w:rsidP="008B6902">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El principio de oportunidad</w:t>
            </w:r>
          </w:p>
          <w:p w:rsidR="008B6902" w:rsidRPr="007E6AD1" w:rsidRDefault="008B6902" w:rsidP="008B6902">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La absolución perentoria</w:t>
            </w:r>
          </w:p>
          <w:p w:rsidR="008B6902" w:rsidRPr="007E6AD1" w:rsidRDefault="008B6902" w:rsidP="008B6902">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La preclusión</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Audiencias del juicio</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Audiencia de Formulación de Acusación</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Audiencia Preparatoria</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Audiencia de Juicio Oral</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Incidente de Reparación Integral</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Audiencia de Sentencia</w:t>
            </w:r>
          </w:p>
          <w:p w:rsidR="008B6902" w:rsidRPr="007E6AD1" w:rsidRDefault="008B6902" w:rsidP="008B6902">
            <w:pPr>
              <w:autoSpaceDE w:val="0"/>
              <w:autoSpaceDN w:val="0"/>
              <w:adjustRightInd w:val="0"/>
              <w:jc w:val="both"/>
              <w:rPr>
                <w:rFonts w:ascii="Arial" w:hAnsi="Arial" w:cs="Arial"/>
                <w:color w:val="000000"/>
              </w:rPr>
            </w:pPr>
          </w:p>
          <w:p w:rsidR="008B6902" w:rsidRPr="007E6AD1" w:rsidRDefault="008B6902" w:rsidP="008B6902">
            <w:pPr>
              <w:autoSpaceDE w:val="0"/>
              <w:autoSpaceDN w:val="0"/>
              <w:adjustRightInd w:val="0"/>
              <w:jc w:val="both"/>
              <w:rPr>
                <w:rFonts w:ascii="Arial" w:hAnsi="Arial" w:cs="Arial"/>
                <w:b/>
                <w:color w:val="000000"/>
              </w:rPr>
            </w:pPr>
            <w:r w:rsidRPr="007E6AD1">
              <w:rPr>
                <w:rFonts w:ascii="Arial" w:hAnsi="Arial" w:cs="Arial"/>
                <w:b/>
                <w:color w:val="000000"/>
              </w:rPr>
              <w:t>TÉCNICAS DE INTERVENCIÓN  ORAL EN EL JUCIO</w:t>
            </w:r>
          </w:p>
          <w:p w:rsidR="008B6902" w:rsidRPr="007E6AD1" w:rsidRDefault="008B6902" w:rsidP="008B6902">
            <w:pPr>
              <w:autoSpaceDE w:val="0"/>
              <w:autoSpaceDN w:val="0"/>
              <w:adjustRightInd w:val="0"/>
              <w:jc w:val="both"/>
              <w:rPr>
                <w:rFonts w:ascii="Arial" w:hAnsi="Arial" w:cs="Arial"/>
                <w:b/>
                <w:color w:val="000000"/>
              </w:rPr>
            </w:pP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Preliminar</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Teoría del caso</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Técnicas de negociación</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Declaración inicial</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Técnicas de interrogatorio</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Técnica del contrainterrogatorio</w:t>
            </w:r>
          </w:p>
          <w:p w:rsidR="008B6902"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Oposiciones</w:t>
            </w:r>
          </w:p>
          <w:p w:rsidR="00C83808" w:rsidRPr="007E6AD1" w:rsidRDefault="008B6902" w:rsidP="008B6902">
            <w:pPr>
              <w:autoSpaceDE w:val="0"/>
              <w:autoSpaceDN w:val="0"/>
              <w:adjustRightInd w:val="0"/>
              <w:jc w:val="both"/>
              <w:rPr>
                <w:rFonts w:ascii="Arial" w:hAnsi="Arial" w:cs="Arial"/>
                <w:color w:val="000000"/>
              </w:rPr>
            </w:pPr>
            <w:r w:rsidRPr="007E6AD1">
              <w:rPr>
                <w:rFonts w:ascii="Arial" w:hAnsi="Arial" w:cs="Arial"/>
                <w:color w:val="000000"/>
              </w:rPr>
              <w:t>Argumentos de conclusión.</w:t>
            </w: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7E6AD1" w:rsidTr="00E525ED">
        <w:tc>
          <w:tcPr>
            <w:tcW w:w="9740" w:type="dxa"/>
            <w:shd w:val="clear" w:color="auto" w:fill="365F91" w:themeFill="accent1" w:themeFillShade="BF"/>
          </w:tcPr>
          <w:p w:rsidR="005307D9" w:rsidRPr="007E6AD1" w:rsidRDefault="005307D9" w:rsidP="00E525ED">
            <w:pPr>
              <w:rPr>
                <w:rFonts w:ascii="Arial" w:hAnsi="Arial" w:cs="Arial"/>
                <w:b/>
                <w:color w:val="0F243E" w:themeColor="text2" w:themeShade="80"/>
              </w:rPr>
            </w:pPr>
            <w:r w:rsidRPr="007E6AD1">
              <w:rPr>
                <w:rFonts w:ascii="Arial" w:hAnsi="Arial" w:cs="Arial"/>
                <w:b/>
                <w:color w:val="FFFFFF" w:themeColor="background1"/>
              </w:rPr>
              <w:t>TEORÍAS Y CONCEPTOS:</w:t>
            </w:r>
          </w:p>
        </w:tc>
      </w:tr>
      <w:tr w:rsidR="005307D9" w:rsidRPr="007E6AD1" w:rsidTr="00E525ED">
        <w:tc>
          <w:tcPr>
            <w:tcW w:w="9740" w:type="dxa"/>
          </w:tcPr>
          <w:p w:rsidR="005307D9" w:rsidRPr="007E6AD1" w:rsidRDefault="005307D9" w:rsidP="00E525ED">
            <w:pPr>
              <w:rPr>
                <w:rFonts w:ascii="Arial" w:hAnsi="Arial" w:cs="Arial"/>
                <w:color w:val="0F243E" w:themeColor="text2" w:themeShade="80"/>
              </w:rPr>
            </w:pP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INSTITUCIONES DEL SISTEMA PENAL ACUSATORIO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lastRenderedPageBreak/>
              <w:t>Distinción entre funcionarios que investigan y acusan y los que juzgan</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La función de control de garantías</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Juicio Público, oral, contradictorio y concentrado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Supresión del principio de permanencia de la prueba</w:t>
            </w:r>
          </w:p>
          <w:p w:rsidR="007E6AD1" w:rsidRDefault="007E6AD1" w:rsidP="007E6AD1">
            <w:pPr>
              <w:jc w:val="both"/>
              <w:rPr>
                <w:rFonts w:ascii="Arial" w:hAnsi="Arial" w:cs="Arial"/>
                <w:color w:val="000000"/>
              </w:rPr>
            </w:pPr>
            <w:r>
              <w:rPr>
                <w:rFonts w:ascii="Arial" w:hAnsi="Arial" w:cs="Arial"/>
                <w:color w:val="000000"/>
              </w:rPr>
              <w:t>El principio de oportunidad</w:t>
            </w:r>
          </w:p>
          <w:p w:rsidR="007E6AD1" w:rsidRPr="007E6AD1" w:rsidRDefault="007E6AD1" w:rsidP="007E6AD1">
            <w:pPr>
              <w:jc w:val="both"/>
              <w:rPr>
                <w:rFonts w:ascii="Arial" w:hAnsi="Arial" w:cs="Arial"/>
                <w:color w:val="000000"/>
              </w:rPr>
            </w:pP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PROCESO PENAL COLOMBIANO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Indagación</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Investigación</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Juicio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Ejecución de penas y medidas de seguridad</w:t>
            </w:r>
          </w:p>
          <w:p w:rsidR="007E6AD1" w:rsidRPr="007E6AD1" w:rsidRDefault="007E6AD1" w:rsidP="007E6AD1">
            <w:pPr>
              <w:autoSpaceDE w:val="0"/>
              <w:autoSpaceDN w:val="0"/>
              <w:adjustRightInd w:val="0"/>
              <w:jc w:val="both"/>
              <w:rPr>
                <w:rFonts w:ascii="Arial" w:hAnsi="Arial" w:cs="Arial"/>
                <w:color w:val="000000"/>
              </w:rPr>
            </w:pP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ROLES CONSTITUCIONALES</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De las personas en la estructura del proceso penal acusatorio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Rol de la Fiscalía</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Rol de la Defensa</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Rol del juez</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Rol de la víctima</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Rol del Ministerio Público</w:t>
            </w:r>
          </w:p>
          <w:p w:rsidR="007E6AD1" w:rsidRPr="007E6AD1" w:rsidRDefault="007E6AD1" w:rsidP="007E6AD1">
            <w:pPr>
              <w:jc w:val="both"/>
              <w:rPr>
                <w:rFonts w:ascii="Arial" w:hAnsi="Arial" w:cs="Arial"/>
              </w:rPr>
            </w:pP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ESTRUCTURA DEL PROCESO PENAL ACUSATORIO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Audiencias Preliminares</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Formas de Terminación del Proceso Penal</w:t>
            </w:r>
          </w:p>
          <w:p w:rsidR="007E6AD1" w:rsidRPr="007E6AD1" w:rsidRDefault="007E6AD1" w:rsidP="007E6AD1">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El archivo</w:t>
            </w:r>
          </w:p>
          <w:p w:rsidR="007E6AD1" w:rsidRPr="007E6AD1" w:rsidRDefault="007E6AD1" w:rsidP="007E6AD1">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La conciliación</w:t>
            </w:r>
          </w:p>
          <w:p w:rsidR="007E6AD1" w:rsidRPr="007E6AD1" w:rsidRDefault="007E6AD1" w:rsidP="007E6AD1">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El allanamiento a la imputación</w:t>
            </w:r>
          </w:p>
          <w:p w:rsidR="007E6AD1" w:rsidRPr="007E6AD1" w:rsidRDefault="007E6AD1" w:rsidP="007E6AD1">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Los preacuerdos</w:t>
            </w:r>
          </w:p>
          <w:p w:rsidR="007E6AD1" w:rsidRPr="007E6AD1" w:rsidRDefault="007E6AD1" w:rsidP="007E6AD1">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El principio de oportunidad</w:t>
            </w:r>
          </w:p>
          <w:p w:rsidR="007E6AD1" w:rsidRPr="007E6AD1" w:rsidRDefault="007E6AD1" w:rsidP="007E6AD1">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La absolución perentoria</w:t>
            </w:r>
          </w:p>
          <w:p w:rsidR="007E6AD1" w:rsidRPr="007E6AD1" w:rsidRDefault="007E6AD1" w:rsidP="007E6AD1">
            <w:pPr>
              <w:numPr>
                <w:ilvl w:val="0"/>
                <w:numId w:val="42"/>
              </w:numPr>
              <w:autoSpaceDE w:val="0"/>
              <w:autoSpaceDN w:val="0"/>
              <w:adjustRightInd w:val="0"/>
              <w:jc w:val="both"/>
              <w:rPr>
                <w:rFonts w:ascii="Arial" w:hAnsi="Arial" w:cs="Arial"/>
                <w:color w:val="000000"/>
              </w:rPr>
            </w:pPr>
            <w:r w:rsidRPr="007E6AD1">
              <w:rPr>
                <w:rFonts w:ascii="Arial" w:hAnsi="Arial" w:cs="Arial"/>
                <w:color w:val="000000"/>
              </w:rPr>
              <w:t>La preclusión</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Audiencias del juicio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Audiencia de Formulación de Acusación</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Audiencia Preparatoria</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Audiencia de Juicio Oral</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Incidente de Reparación Integral</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Audiencia de Sentencia</w:t>
            </w:r>
          </w:p>
          <w:p w:rsidR="007E6AD1" w:rsidRPr="007E6AD1" w:rsidRDefault="007E6AD1" w:rsidP="007E6AD1">
            <w:pPr>
              <w:autoSpaceDE w:val="0"/>
              <w:autoSpaceDN w:val="0"/>
              <w:adjustRightInd w:val="0"/>
              <w:jc w:val="both"/>
              <w:rPr>
                <w:rFonts w:ascii="Arial" w:hAnsi="Arial" w:cs="Arial"/>
                <w:color w:val="000000"/>
              </w:rPr>
            </w:pP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TÉCNICAS DE INTERVENCIÓN  ORAL EN EL JUCIO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Preliminar</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Teoría del caso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Técnicas de negociación</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Declaración inicial</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Técnicas de interrogatorio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lastRenderedPageBreak/>
              <w:t>Técnica del contrainterrogatorio</w:t>
            </w:r>
          </w:p>
          <w:p w:rsidR="007E6AD1" w:rsidRPr="007E6AD1" w:rsidRDefault="007E6AD1" w:rsidP="007E6AD1">
            <w:pPr>
              <w:autoSpaceDE w:val="0"/>
              <w:autoSpaceDN w:val="0"/>
              <w:adjustRightInd w:val="0"/>
              <w:jc w:val="both"/>
              <w:rPr>
                <w:rFonts w:ascii="Arial" w:hAnsi="Arial" w:cs="Arial"/>
                <w:color w:val="000000"/>
              </w:rPr>
            </w:pPr>
            <w:r w:rsidRPr="007E6AD1">
              <w:rPr>
                <w:rFonts w:ascii="Arial" w:hAnsi="Arial" w:cs="Arial"/>
                <w:color w:val="000000"/>
              </w:rPr>
              <w:t>Oposiciones</w:t>
            </w:r>
          </w:p>
          <w:p w:rsidR="006A3F56" w:rsidRPr="007E6AD1" w:rsidRDefault="007E6AD1" w:rsidP="007E6AD1">
            <w:pPr>
              <w:rPr>
                <w:rFonts w:ascii="Arial" w:hAnsi="Arial" w:cs="Arial"/>
                <w:color w:val="0F243E" w:themeColor="text2" w:themeShade="80"/>
              </w:rPr>
            </w:pPr>
            <w:r w:rsidRPr="007E6AD1">
              <w:rPr>
                <w:rFonts w:ascii="Arial" w:hAnsi="Arial" w:cs="Arial"/>
                <w:color w:val="000000"/>
              </w:rPr>
              <w:t>Argumentos de conclusión.</w:t>
            </w: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CC21F3">
        <w:tc>
          <w:tcPr>
            <w:tcW w:w="9740" w:type="dxa"/>
            <w:shd w:val="clear" w:color="auto" w:fill="365F91" w:themeFill="accent1" w:themeFillShade="BF"/>
          </w:tcPr>
          <w:p w:rsidR="009D3B04" w:rsidRPr="007E6AD1" w:rsidRDefault="009D3B04" w:rsidP="00CC21F3">
            <w:pPr>
              <w:rPr>
                <w:rFonts w:ascii="Arial" w:hAnsi="Arial" w:cs="Arial"/>
                <w:b/>
                <w:color w:val="0F243E" w:themeColor="text2" w:themeShade="80"/>
              </w:rPr>
            </w:pPr>
            <w:r w:rsidRPr="007E6AD1">
              <w:rPr>
                <w:rFonts w:ascii="Arial" w:hAnsi="Arial" w:cs="Arial"/>
                <w:b/>
                <w:color w:val="FFFFFF" w:themeColor="background1"/>
              </w:rPr>
              <w:t>METODOLOGÍA:</w:t>
            </w:r>
          </w:p>
        </w:tc>
      </w:tr>
      <w:tr w:rsidR="009D3B04" w:rsidRPr="007E6AD1" w:rsidTr="00CC21F3">
        <w:tc>
          <w:tcPr>
            <w:tcW w:w="9740" w:type="dxa"/>
          </w:tcPr>
          <w:p w:rsidR="009D3B04" w:rsidRPr="007E6AD1" w:rsidRDefault="009D3B04" w:rsidP="00CC21F3">
            <w:pPr>
              <w:rPr>
                <w:rFonts w:ascii="Arial" w:hAnsi="Arial" w:cs="Arial"/>
                <w:color w:val="0F243E" w:themeColor="text2" w:themeShade="80"/>
              </w:rPr>
            </w:pPr>
          </w:p>
          <w:p w:rsidR="00524765" w:rsidRPr="007E6AD1" w:rsidRDefault="00524765" w:rsidP="00524765">
            <w:pPr>
              <w:jc w:val="both"/>
              <w:rPr>
                <w:rFonts w:ascii="Arial" w:eastAsia="Calibri" w:hAnsi="Arial" w:cs="Arial"/>
              </w:rPr>
            </w:pPr>
            <w:r w:rsidRPr="007E6AD1">
              <w:rPr>
                <w:rFonts w:ascii="Arial" w:eastAsia="Calibri" w:hAnsi="Arial" w:cs="Arial"/>
              </w:rPr>
              <w:t xml:space="preserve">Dada la modalidad teórica-práctica, la asignatura se basará en un trabajo previo por parte de los/las alumnos/as antes de cada sesión, mediante la consulta e investigación de textos especializados, conocimientos y experiencias; interacción y participación activa, además de la discusión en clase de los temas propuestos; exposición por parte del docente y los/las alumnos/as. </w:t>
            </w:r>
          </w:p>
          <w:p w:rsidR="00524765" w:rsidRPr="007E6AD1" w:rsidRDefault="00524765" w:rsidP="00524765">
            <w:pPr>
              <w:jc w:val="both"/>
              <w:rPr>
                <w:rFonts w:ascii="Arial" w:eastAsia="Calibri" w:hAnsi="Arial" w:cs="Arial"/>
              </w:rPr>
            </w:pPr>
          </w:p>
          <w:p w:rsidR="006A3F56" w:rsidRPr="007E6AD1" w:rsidRDefault="00524765" w:rsidP="007E6AD1">
            <w:pPr>
              <w:jc w:val="both"/>
              <w:rPr>
                <w:rFonts w:ascii="Arial" w:eastAsia="Calibri" w:hAnsi="Arial" w:cs="Arial"/>
              </w:rPr>
            </w:pPr>
            <w:r w:rsidRPr="007E6AD1">
              <w:rPr>
                <w:rFonts w:ascii="Arial" w:eastAsia="Calibri" w:hAnsi="Arial" w:cs="Arial"/>
              </w:rPr>
              <w:t>Se combinará la práctica con el trabajo en grupo, la puesta en común de exposiciones, mesas redondas, debates y foros.</w:t>
            </w: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CC21F3">
        <w:tc>
          <w:tcPr>
            <w:tcW w:w="9740" w:type="dxa"/>
            <w:shd w:val="clear" w:color="auto" w:fill="365F91" w:themeFill="accent1" w:themeFillShade="BF"/>
          </w:tcPr>
          <w:p w:rsidR="009D3B04" w:rsidRPr="007E6AD1" w:rsidRDefault="009D3B04" w:rsidP="00CC21F3">
            <w:pPr>
              <w:rPr>
                <w:rFonts w:ascii="Arial" w:hAnsi="Arial" w:cs="Arial"/>
                <w:b/>
                <w:color w:val="FFFFFF" w:themeColor="background1"/>
              </w:rPr>
            </w:pPr>
            <w:r w:rsidRPr="007E6AD1">
              <w:rPr>
                <w:rFonts w:ascii="Arial" w:hAnsi="Arial" w:cs="Arial"/>
                <w:b/>
                <w:color w:val="FFFFFF" w:themeColor="background1"/>
              </w:rPr>
              <w:t>EVALUACIÓN:</w:t>
            </w:r>
          </w:p>
        </w:tc>
      </w:tr>
      <w:tr w:rsidR="009D3B04" w:rsidRPr="007E6AD1" w:rsidTr="00CC21F3">
        <w:tc>
          <w:tcPr>
            <w:tcW w:w="9740" w:type="dxa"/>
          </w:tcPr>
          <w:p w:rsidR="00C83808" w:rsidRPr="007E6AD1" w:rsidRDefault="00C83808" w:rsidP="00C83808">
            <w:pPr>
              <w:ind w:left="360"/>
              <w:jc w:val="both"/>
              <w:rPr>
                <w:rFonts w:ascii="Arial" w:eastAsia="Calibri" w:hAnsi="Arial" w:cs="Arial"/>
              </w:rPr>
            </w:pPr>
            <w:r w:rsidRPr="007E6AD1">
              <w:rPr>
                <w:rFonts w:ascii="Arial" w:eastAsia="Calibri" w:hAnsi="Arial" w:cs="Arial"/>
              </w:rPr>
              <w:t xml:space="preserve">La evaluación será permanente y  se evaluará cada proceso  en especial: </w:t>
            </w:r>
          </w:p>
          <w:p w:rsidR="00C83808" w:rsidRPr="007E6AD1" w:rsidRDefault="00C83808" w:rsidP="00C83808">
            <w:pPr>
              <w:ind w:left="360"/>
              <w:jc w:val="both"/>
              <w:rPr>
                <w:rFonts w:ascii="Arial" w:eastAsia="Calibri" w:hAnsi="Arial" w:cs="Arial"/>
              </w:rPr>
            </w:pPr>
          </w:p>
          <w:p w:rsidR="00C83808" w:rsidRPr="007E6AD1" w:rsidRDefault="00C83808" w:rsidP="00C83808">
            <w:pPr>
              <w:ind w:left="360"/>
              <w:jc w:val="both"/>
              <w:rPr>
                <w:rFonts w:ascii="Arial" w:eastAsia="Calibri" w:hAnsi="Arial" w:cs="Arial"/>
              </w:rPr>
            </w:pPr>
            <w:r w:rsidRPr="007E6AD1">
              <w:rPr>
                <w:rFonts w:ascii="Arial" w:eastAsia="Calibri" w:hAnsi="Arial" w:cs="Arial"/>
              </w:rPr>
              <w:t>Exposiciones en público</w:t>
            </w:r>
          </w:p>
          <w:p w:rsidR="00C83808" w:rsidRPr="007E6AD1" w:rsidRDefault="00C83808" w:rsidP="00C83808">
            <w:pPr>
              <w:ind w:left="360"/>
              <w:jc w:val="both"/>
              <w:rPr>
                <w:rFonts w:ascii="Arial" w:eastAsia="Calibri" w:hAnsi="Arial" w:cs="Arial"/>
              </w:rPr>
            </w:pPr>
            <w:r w:rsidRPr="007E6AD1">
              <w:rPr>
                <w:rFonts w:ascii="Arial" w:eastAsia="Calibri" w:hAnsi="Arial" w:cs="Arial"/>
              </w:rPr>
              <w:t>Aporte en los debates</w:t>
            </w:r>
          </w:p>
          <w:p w:rsidR="00C83808" w:rsidRPr="007E6AD1" w:rsidRDefault="00C83808" w:rsidP="00C83808">
            <w:pPr>
              <w:widowControl w:val="0"/>
              <w:autoSpaceDE w:val="0"/>
              <w:autoSpaceDN w:val="0"/>
              <w:adjustRightInd w:val="0"/>
              <w:ind w:left="360"/>
              <w:jc w:val="both"/>
              <w:rPr>
                <w:rFonts w:ascii="Arial" w:hAnsi="Arial" w:cs="Arial"/>
              </w:rPr>
            </w:pPr>
            <w:r w:rsidRPr="007E6AD1">
              <w:rPr>
                <w:rFonts w:ascii="Arial" w:hAnsi="Arial" w:cs="Arial"/>
              </w:rPr>
              <w:t>Pruebas parciales orales, para evaluar las competencias en el orden cognitivo e interpretativo.</w:t>
            </w:r>
          </w:p>
          <w:p w:rsidR="009D3B04" w:rsidRPr="007E6AD1" w:rsidRDefault="00C83808" w:rsidP="00C83808">
            <w:pPr>
              <w:widowControl w:val="0"/>
              <w:autoSpaceDE w:val="0"/>
              <w:autoSpaceDN w:val="0"/>
              <w:adjustRightInd w:val="0"/>
              <w:ind w:left="360"/>
              <w:jc w:val="both"/>
              <w:rPr>
                <w:rFonts w:ascii="Arial" w:hAnsi="Arial" w:cs="Arial"/>
              </w:rPr>
            </w:pPr>
            <w:r w:rsidRPr="007E6AD1">
              <w:rPr>
                <w:rFonts w:ascii="Arial" w:hAnsi="Arial" w:cs="Arial"/>
              </w:rPr>
              <w:t>Audiencias</w:t>
            </w:r>
          </w:p>
        </w:tc>
      </w:tr>
    </w:tbl>
    <w:p w:rsidR="009D3B04" w:rsidRPr="007E6AD1"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7E6AD1" w:rsidTr="00CC21F3">
        <w:tc>
          <w:tcPr>
            <w:tcW w:w="9740" w:type="dxa"/>
            <w:shd w:val="clear" w:color="auto" w:fill="365F91" w:themeFill="accent1" w:themeFillShade="BF"/>
          </w:tcPr>
          <w:p w:rsidR="009D3B04" w:rsidRPr="007E6AD1" w:rsidRDefault="009D3B04" w:rsidP="00CC21F3">
            <w:pPr>
              <w:rPr>
                <w:rFonts w:ascii="Arial" w:hAnsi="Arial" w:cs="Arial"/>
                <w:b/>
                <w:color w:val="0F243E" w:themeColor="text2" w:themeShade="80"/>
              </w:rPr>
            </w:pPr>
            <w:r w:rsidRPr="007E6AD1">
              <w:rPr>
                <w:rFonts w:ascii="Arial" w:hAnsi="Arial" w:cs="Arial"/>
                <w:b/>
                <w:color w:val="FFFFFF" w:themeColor="background1"/>
              </w:rPr>
              <w:t>RECURSOS :</w:t>
            </w:r>
          </w:p>
        </w:tc>
      </w:tr>
      <w:tr w:rsidR="009D3B04" w:rsidRPr="007E6AD1" w:rsidTr="00CC21F3">
        <w:tc>
          <w:tcPr>
            <w:tcW w:w="9740" w:type="dxa"/>
          </w:tcPr>
          <w:p w:rsidR="006A3F56" w:rsidRPr="007E6AD1" w:rsidRDefault="006A3F56" w:rsidP="00CC21F3">
            <w:pPr>
              <w:rPr>
                <w:rFonts w:ascii="Arial" w:hAnsi="Arial" w:cs="Arial"/>
                <w:b/>
                <w:color w:val="0F243E" w:themeColor="text2" w:themeShade="80"/>
              </w:rPr>
            </w:pPr>
          </w:p>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BIBLIOGRAFÍA BÁSICA Y COMPLEMENTARIA</w:t>
            </w:r>
          </w:p>
          <w:p w:rsidR="00524765" w:rsidRPr="007E6AD1" w:rsidRDefault="00524765" w:rsidP="00CC21F3">
            <w:pPr>
              <w:rPr>
                <w:rFonts w:ascii="Arial" w:hAnsi="Arial" w:cs="Arial"/>
                <w:b/>
                <w:color w:val="0F243E" w:themeColor="text2" w:themeShade="80"/>
              </w:rPr>
            </w:pPr>
          </w:p>
          <w:p w:rsidR="00C83808" w:rsidRPr="007E6AD1" w:rsidRDefault="00C83808" w:rsidP="00C83808">
            <w:pPr>
              <w:autoSpaceDE w:val="0"/>
              <w:autoSpaceDN w:val="0"/>
              <w:adjustRightInd w:val="0"/>
              <w:jc w:val="both"/>
              <w:rPr>
                <w:rFonts w:ascii="Arial" w:hAnsi="Arial" w:cs="Arial"/>
                <w:color w:val="000000"/>
              </w:rPr>
            </w:pPr>
            <w:r w:rsidRPr="007E6AD1">
              <w:rPr>
                <w:rFonts w:ascii="Arial" w:hAnsi="Arial" w:cs="Arial"/>
                <w:color w:val="000000"/>
              </w:rPr>
              <w:t>Aponte, Alejandro. Manual para el Juez de Control de Garantías en el sistema acusatorio penal, Consejo Superior de la Judicatura, Sala Administrativa, Escuela Judicial Rodrigo Lara Bonilla, Bogotá - Colombia, 2004</w:t>
            </w:r>
          </w:p>
          <w:p w:rsidR="00C83808" w:rsidRPr="007E6AD1" w:rsidRDefault="00C83808" w:rsidP="00C83808">
            <w:pPr>
              <w:autoSpaceDE w:val="0"/>
              <w:autoSpaceDN w:val="0"/>
              <w:adjustRightInd w:val="0"/>
              <w:jc w:val="both"/>
              <w:rPr>
                <w:rFonts w:ascii="Arial" w:hAnsi="Arial" w:cs="Arial"/>
                <w:color w:val="000000"/>
              </w:rPr>
            </w:pPr>
          </w:p>
          <w:p w:rsidR="00C83808" w:rsidRPr="007E6AD1" w:rsidRDefault="00C83808" w:rsidP="00C83808">
            <w:pPr>
              <w:autoSpaceDE w:val="0"/>
              <w:autoSpaceDN w:val="0"/>
              <w:adjustRightInd w:val="0"/>
              <w:jc w:val="both"/>
              <w:rPr>
                <w:rFonts w:ascii="Arial" w:hAnsi="Arial" w:cs="Arial"/>
                <w:color w:val="000000"/>
              </w:rPr>
            </w:pPr>
            <w:r w:rsidRPr="007E6AD1">
              <w:rPr>
                <w:rFonts w:ascii="Arial" w:hAnsi="Arial" w:cs="Arial"/>
                <w:color w:val="000000"/>
              </w:rPr>
              <w:t>Arciniegas Martínez, G. Augusto. Investigación y juzgamiento en el sistema acusatorio, Ed. Nueva Jurídica, Bogotá - Colombia, 2005</w:t>
            </w:r>
          </w:p>
          <w:p w:rsidR="00C83808" w:rsidRPr="007E6AD1" w:rsidRDefault="00C83808" w:rsidP="00C83808">
            <w:pPr>
              <w:autoSpaceDE w:val="0"/>
              <w:autoSpaceDN w:val="0"/>
              <w:adjustRightInd w:val="0"/>
              <w:jc w:val="both"/>
              <w:rPr>
                <w:rFonts w:ascii="Arial" w:hAnsi="Arial" w:cs="Arial"/>
                <w:color w:val="000000"/>
              </w:rPr>
            </w:pPr>
          </w:p>
          <w:p w:rsidR="00C83808" w:rsidRPr="007E6AD1" w:rsidRDefault="00C83808" w:rsidP="00C83808">
            <w:pPr>
              <w:autoSpaceDE w:val="0"/>
              <w:autoSpaceDN w:val="0"/>
              <w:adjustRightInd w:val="0"/>
              <w:jc w:val="both"/>
              <w:rPr>
                <w:rFonts w:ascii="Arial" w:hAnsi="Arial" w:cs="Arial"/>
                <w:color w:val="000000"/>
              </w:rPr>
            </w:pPr>
            <w:r w:rsidRPr="007E6AD1">
              <w:rPr>
                <w:rFonts w:ascii="Arial" w:hAnsi="Arial" w:cs="Arial"/>
                <w:color w:val="000000"/>
              </w:rPr>
              <w:t xml:space="preserve">Bernal Cuéllar, Jaime y Montealegre </w:t>
            </w:r>
            <w:proofErr w:type="spellStart"/>
            <w:r w:rsidRPr="007E6AD1">
              <w:rPr>
                <w:rFonts w:ascii="Arial" w:hAnsi="Arial" w:cs="Arial"/>
                <w:color w:val="000000"/>
              </w:rPr>
              <w:t>Lynett</w:t>
            </w:r>
            <w:proofErr w:type="spellEnd"/>
            <w:r w:rsidRPr="007E6AD1">
              <w:rPr>
                <w:rFonts w:ascii="Arial" w:hAnsi="Arial" w:cs="Arial"/>
                <w:color w:val="000000"/>
              </w:rPr>
              <w:t>, Eduardo. El proceso penal, fundamentos constitucionales del nuevo sistema acusatorio, Tomo I, 5ª. Ed. Universidad Externado de Colombia, Bogotá - Colombia, 2004</w:t>
            </w:r>
          </w:p>
          <w:p w:rsidR="00C83808" w:rsidRPr="007E6AD1" w:rsidRDefault="00C83808" w:rsidP="00C83808">
            <w:pPr>
              <w:autoSpaceDE w:val="0"/>
              <w:autoSpaceDN w:val="0"/>
              <w:adjustRightInd w:val="0"/>
              <w:jc w:val="both"/>
              <w:rPr>
                <w:rFonts w:ascii="Arial" w:hAnsi="Arial" w:cs="Arial"/>
                <w:color w:val="000000"/>
              </w:rPr>
            </w:pPr>
          </w:p>
          <w:p w:rsidR="00C83808" w:rsidRPr="007E6AD1" w:rsidRDefault="00C83808" w:rsidP="00C83808">
            <w:pPr>
              <w:autoSpaceDE w:val="0"/>
              <w:autoSpaceDN w:val="0"/>
              <w:adjustRightInd w:val="0"/>
              <w:jc w:val="both"/>
              <w:rPr>
                <w:rFonts w:ascii="Arial" w:hAnsi="Arial" w:cs="Arial"/>
                <w:color w:val="000000"/>
              </w:rPr>
            </w:pPr>
            <w:r w:rsidRPr="007E6AD1">
              <w:rPr>
                <w:rFonts w:ascii="Arial" w:hAnsi="Arial" w:cs="Arial"/>
                <w:color w:val="000000"/>
              </w:rPr>
              <w:t>Bovino, Alberto. Problemas del Derecho Procesal Penal Contemporáneo, 1ª reimpresión, Editores del Puerto, Buenos Aires - Argentina, 2005</w:t>
            </w:r>
          </w:p>
          <w:p w:rsidR="00C83808" w:rsidRPr="007E6AD1" w:rsidRDefault="00C83808" w:rsidP="00C83808">
            <w:pPr>
              <w:autoSpaceDE w:val="0"/>
              <w:autoSpaceDN w:val="0"/>
              <w:adjustRightInd w:val="0"/>
              <w:jc w:val="both"/>
              <w:rPr>
                <w:rFonts w:ascii="Arial" w:hAnsi="Arial" w:cs="Arial"/>
                <w:color w:val="000000"/>
              </w:rPr>
            </w:pPr>
          </w:p>
          <w:p w:rsidR="00C83808" w:rsidRPr="007E6AD1" w:rsidRDefault="00C83808" w:rsidP="00C83808">
            <w:pPr>
              <w:autoSpaceDE w:val="0"/>
              <w:autoSpaceDN w:val="0"/>
              <w:adjustRightInd w:val="0"/>
              <w:jc w:val="both"/>
              <w:rPr>
                <w:rFonts w:ascii="Arial" w:hAnsi="Arial" w:cs="Arial"/>
                <w:color w:val="000000"/>
              </w:rPr>
            </w:pPr>
            <w:r w:rsidRPr="007E6AD1">
              <w:rPr>
                <w:rFonts w:ascii="Arial" w:hAnsi="Arial" w:cs="Arial"/>
                <w:color w:val="000000"/>
              </w:rPr>
              <w:t>Fiscalía General de la Nación</w:t>
            </w:r>
          </w:p>
          <w:p w:rsidR="00C83808" w:rsidRPr="007E6AD1" w:rsidRDefault="00C83808" w:rsidP="00C83808">
            <w:pPr>
              <w:autoSpaceDE w:val="0"/>
              <w:autoSpaceDN w:val="0"/>
              <w:adjustRightInd w:val="0"/>
              <w:jc w:val="both"/>
              <w:rPr>
                <w:rFonts w:ascii="Arial" w:hAnsi="Arial" w:cs="Arial"/>
                <w:color w:val="000000"/>
              </w:rPr>
            </w:pPr>
          </w:p>
          <w:p w:rsidR="00C83808" w:rsidRPr="007E6AD1" w:rsidRDefault="00C83808" w:rsidP="00C83808">
            <w:pPr>
              <w:autoSpaceDE w:val="0"/>
              <w:autoSpaceDN w:val="0"/>
              <w:adjustRightInd w:val="0"/>
              <w:jc w:val="both"/>
              <w:rPr>
                <w:rFonts w:ascii="Arial" w:hAnsi="Arial" w:cs="Arial"/>
                <w:color w:val="000000"/>
              </w:rPr>
            </w:pPr>
            <w:proofErr w:type="spellStart"/>
            <w:r w:rsidRPr="007E6AD1">
              <w:rPr>
                <w:rFonts w:ascii="Arial" w:hAnsi="Arial" w:cs="Arial"/>
                <w:color w:val="000000"/>
              </w:rPr>
              <w:t>Maier</w:t>
            </w:r>
            <w:proofErr w:type="spellEnd"/>
            <w:r w:rsidRPr="007E6AD1">
              <w:rPr>
                <w:rFonts w:ascii="Arial" w:hAnsi="Arial" w:cs="Arial"/>
                <w:color w:val="000000"/>
              </w:rPr>
              <w:t xml:space="preserve">, Julio B. J. Derecho Procesal Penal, I. Fundamentos, 2a. reimpresión, Editores del Puerto </w:t>
            </w:r>
            <w:proofErr w:type="spellStart"/>
            <w:r w:rsidRPr="007E6AD1">
              <w:rPr>
                <w:rFonts w:ascii="Arial" w:hAnsi="Arial" w:cs="Arial"/>
                <w:color w:val="000000"/>
              </w:rPr>
              <w:t>s.r.l</w:t>
            </w:r>
            <w:proofErr w:type="spellEnd"/>
            <w:r w:rsidRPr="007E6AD1">
              <w:rPr>
                <w:rFonts w:ascii="Arial" w:hAnsi="Arial" w:cs="Arial"/>
                <w:color w:val="000000"/>
              </w:rPr>
              <w:t>., Buenos Aires – Argentina, 2002. Estructura del proceso penal acusatorio</w:t>
            </w:r>
          </w:p>
          <w:p w:rsidR="00C83808" w:rsidRPr="007E6AD1" w:rsidRDefault="00C83808" w:rsidP="00C83808">
            <w:pPr>
              <w:autoSpaceDE w:val="0"/>
              <w:autoSpaceDN w:val="0"/>
              <w:adjustRightInd w:val="0"/>
              <w:jc w:val="both"/>
              <w:rPr>
                <w:rFonts w:ascii="Arial" w:hAnsi="Arial" w:cs="Arial"/>
                <w:b/>
                <w:bCs/>
                <w:color w:val="000000"/>
              </w:rPr>
            </w:pPr>
          </w:p>
          <w:p w:rsidR="009D3B04" w:rsidRPr="007E6AD1" w:rsidRDefault="00C83808" w:rsidP="007E6AD1">
            <w:pPr>
              <w:autoSpaceDE w:val="0"/>
              <w:autoSpaceDN w:val="0"/>
              <w:adjustRightInd w:val="0"/>
              <w:jc w:val="both"/>
              <w:rPr>
                <w:rFonts w:ascii="Arial" w:hAnsi="Arial" w:cs="Arial"/>
                <w:color w:val="000000"/>
              </w:rPr>
            </w:pPr>
            <w:proofErr w:type="spellStart"/>
            <w:r w:rsidRPr="007E6AD1">
              <w:rPr>
                <w:rFonts w:ascii="Arial" w:hAnsi="Arial" w:cs="Arial"/>
                <w:color w:val="000000"/>
              </w:rPr>
              <w:t>Maier</w:t>
            </w:r>
            <w:proofErr w:type="spellEnd"/>
            <w:r w:rsidRPr="007E6AD1">
              <w:rPr>
                <w:rFonts w:ascii="Arial" w:hAnsi="Arial" w:cs="Arial"/>
                <w:color w:val="000000"/>
              </w:rPr>
              <w:t xml:space="preserve">, Julio B. J. Derecho procesal penal, II. Parte General, sujetos procesales, 2a. reimpresión, Editores del Puerto </w:t>
            </w:r>
            <w:proofErr w:type="spellStart"/>
            <w:r w:rsidRPr="007E6AD1">
              <w:rPr>
                <w:rFonts w:ascii="Arial" w:hAnsi="Arial" w:cs="Arial"/>
                <w:color w:val="000000"/>
              </w:rPr>
              <w:t>s.r.l</w:t>
            </w:r>
            <w:proofErr w:type="spellEnd"/>
            <w:r w:rsidRPr="007E6AD1">
              <w:rPr>
                <w:rFonts w:ascii="Arial" w:hAnsi="Arial" w:cs="Arial"/>
                <w:color w:val="000000"/>
              </w:rPr>
              <w:t>., Buenos Aires – Argentina, 2002.</w:t>
            </w:r>
          </w:p>
        </w:tc>
      </w:tr>
      <w:tr w:rsidR="009D3B04" w:rsidRPr="007E6AD1" w:rsidTr="00CC21F3">
        <w:tc>
          <w:tcPr>
            <w:tcW w:w="9740" w:type="dxa"/>
          </w:tcPr>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lastRenderedPageBreak/>
              <w:t xml:space="preserve">MEDIOS Y RECURSOS </w:t>
            </w:r>
          </w:p>
          <w:p w:rsidR="009D3B04" w:rsidRPr="007E6AD1" w:rsidRDefault="00C83808" w:rsidP="00CC21F3">
            <w:pPr>
              <w:rPr>
                <w:rFonts w:ascii="Arial" w:hAnsi="Arial" w:cs="Arial"/>
                <w:color w:val="0F243E" w:themeColor="text2" w:themeShade="80"/>
              </w:rPr>
            </w:pPr>
            <w:r w:rsidRPr="007E6AD1">
              <w:rPr>
                <w:rFonts w:ascii="Arial" w:hAnsi="Arial" w:cs="Arial"/>
                <w:color w:val="0F243E" w:themeColor="text2" w:themeShade="80"/>
              </w:rPr>
              <w:t>Físicos, digitales – virtuales – sala de audiencias</w:t>
            </w:r>
          </w:p>
        </w:tc>
      </w:tr>
      <w:tr w:rsidR="009D3B04" w:rsidRPr="007E6AD1" w:rsidTr="00CC21F3">
        <w:tc>
          <w:tcPr>
            <w:tcW w:w="9740" w:type="dxa"/>
          </w:tcPr>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SOFTWARE /AULAS VIRTUALES / ESPACIOS ELECTRÓNICOS</w:t>
            </w:r>
          </w:p>
          <w:p w:rsidR="009D3B04" w:rsidRPr="007E6AD1" w:rsidRDefault="00C83808" w:rsidP="00CC21F3">
            <w:pPr>
              <w:rPr>
                <w:rFonts w:ascii="Arial" w:hAnsi="Arial" w:cs="Arial"/>
                <w:b/>
                <w:color w:val="0F243E" w:themeColor="text2" w:themeShade="80"/>
              </w:rPr>
            </w:pPr>
            <w:r w:rsidRPr="007E6AD1">
              <w:rPr>
                <w:rFonts w:ascii="Arial" w:hAnsi="Arial" w:cs="Arial"/>
                <w:color w:val="0F243E" w:themeColor="text2" w:themeShade="80"/>
              </w:rPr>
              <w:t>Físicos, digitales - virtuales</w:t>
            </w:r>
          </w:p>
        </w:tc>
      </w:tr>
      <w:tr w:rsidR="009D3B04" w:rsidRPr="007E6AD1" w:rsidTr="00CC21F3">
        <w:tc>
          <w:tcPr>
            <w:tcW w:w="9740" w:type="dxa"/>
          </w:tcPr>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LABOR</w:t>
            </w:r>
            <w:r w:rsidR="001045BF" w:rsidRPr="007E6AD1">
              <w:rPr>
                <w:rFonts w:ascii="Arial" w:hAnsi="Arial" w:cs="Arial"/>
                <w:b/>
                <w:color w:val="0F243E" w:themeColor="text2" w:themeShade="80"/>
              </w:rPr>
              <w:t>A</w:t>
            </w:r>
            <w:r w:rsidRPr="007E6AD1">
              <w:rPr>
                <w:rFonts w:ascii="Arial" w:hAnsi="Arial" w:cs="Arial"/>
                <w:b/>
                <w:color w:val="0F243E" w:themeColor="text2" w:themeShade="80"/>
              </w:rPr>
              <w:t>TORIOS Y/O SITIOS DE PRÁCTICA</w:t>
            </w:r>
          </w:p>
          <w:p w:rsidR="009D3B04" w:rsidRPr="007E6AD1" w:rsidRDefault="00C83808" w:rsidP="00CC21F3">
            <w:pPr>
              <w:rPr>
                <w:rFonts w:ascii="Arial" w:hAnsi="Arial" w:cs="Arial"/>
                <w:b/>
                <w:color w:val="0F243E" w:themeColor="text2" w:themeShade="80"/>
              </w:rPr>
            </w:pPr>
            <w:r w:rsidRPr="007E6AD1">
              <w:rPr>
                <w:rFonts w:ascii="Arial" w:hAnsi="Arial" w:cs="Arial"/>
                <w:color w:val="0F243E" w:themeColor="text2" w:themeShade="80"/>
              </w:rPr>
              <w:t>Físicos, digitales – virtuales - sala de audiencias</w:t>
            </w:r>
          </w:p>
        </w:tc>
      </w:tr>
      <w:tr w:rsidR="009D3B04" w:rsidRPr="007E6AD1" w:rsidTr="00CC21F3">
        <w:tc>
          <w:tcPr>
            <w:tcW w:w="9740" w:type="dxa"/>
          </w:tcPr>
          <w:p w:rsidR="009D3B04" w:rsidRPr="007E6AD1" w:rsidRDefault="009D3B04" w:rsidP="00CC21F3">
            <w:pPr>
              <w:rPr>
                <w:rFonts w:ascii="Arial" w:hAnsi="Arial" w:cs="Arial"/>
                <w:b/>
                <w:color w:val="0F243E" w:themeColor="text2" w:themeShade="80"/>
              </w:rPr>
            </w:pPr>
            <w:r w:rsidRPr="007E6AD1">
              <w:rPr>
                <w:rFonts w:ascii="Arial" w:hAnsi="Arial" w:cs="Arial"/>
                <w:b/>
                <w:color w:val="0F243E" w:themeColor="text2" w:themeShade="80"/>
              </w:rPr>
              <w:t>EQUIPOS Y MATERIALES</w:t>
            </w:r>
          </w:p>
          <w:p w:rsidR="009D3B04" w:rsidRPr="007E6AD1" w:rsidRDefault="00C83808" w:rsidP="00CC21F3">
            <w:pPr>
              <w:rPr>
                <w:rFonts w:ascii="Arial" w:hAnsi="Arial" w:cs="Arial"/>
                <w:color w:val="0F243E" w:themeColor="text2" w:themeShade="80"/>
              </w:rPr>
            </w:pPr>
            <w:r w:rsidRPr="007E6AD1">
              <w:rPr>
                <w:rFonts w:ascii="Arial" w:hAnsi="Arial" w:cs="Arial"/>
                <w:color w:val="0F243E" w:themeColor="text2" w:themeShade="80"/>
              </w:rPr>
              <w:t>Físicos, digitales – virtuales - sala de audiencias</w:t>
            </w:r>
          </w:p>
        </w:tc>
      </w:tr>
    </w:tbl>
    <w:p w:rsidR="00373F2F" w:rsidRPr="007E6AD1" w:rsidRDefault="00373F2F" w:rsidP="007E6AD1">
      <w:pPr>
        <w:rPr>
          <w:rFonts w:ascii="Arial" w:hAnsi="Arial" w:cs="Arial"/>
        </w:rPr>
      </w:pPr>
    </w:p>
    <w:sectPr w:rsidR="00373F2F" w:rsidRPr="007E6AD1"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743" w:rsidRDefault="00753743">
      <w:r>
        <w:separator/>
      </w:r>
    </w:p>
  </w:endnote>
  <w:endnote w:type="continuationSeparator" w:id="0">
    <w:p w:rsidR="00753743" w:rsidRDefault="0075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Default="00753743"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Default="00AD67E4"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743" w:rsidRDefault="00753743">
      <w:r>
        <w:separator/>
      </w:r>
    </w:p>
  </w:footnote>
  <w:footnote w:type="continuationSeparator" w:id="0">
    <w:p w:rsidR="00753743" w:rsidRDefault="00753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5374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33E5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33E55">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33E55">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33E55">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5374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5A293B"/>
    <w:multiLevelType w:val="hybridMultilevel"/>
    <w:tmpl w:val="EA6836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5"/>
  </w:num>
  <w:num w:numId="3">
    <w:abstractNumId w:val="31"/>
  </w:num>
  <w:num w:numId="4">
    <w:abstractNumId w:val="43"/>
  </w:num>
  <w:num w:numId="5">
    <w:abstractNumId w:val="36"/>
  </w:num>
  <w:num w:numId="6">
    <w:abstractNumId w:val="23"/>
  </w:num>
  <w:num w:numId="7">
    <w:abstractNumId w:val="40"/>
  </w:num>
  <w:num w:numId="8">
    <w:abstractNumId w:val="28"/>
  </w:num>
  <w:num w:numId="9">
    <w:abstractNumId w:val="5"/>
  </w:num>
  <w:num w:numId="10">
    <w:abstractNumId w:val="27"/>
  </w:num>
  <w:num w:numId="11">
    <w:abstractNumId w:val="13"/>
  </w:num>
  <w:num w:numId="12">
    <w:abstractNumId w:val="9"/>
  </w:num>
  <w:num w:numId="13">
    <w:abstractNumId w:val="41"/>
  </w:num>
  <w:num w:numId="14">
    <w:abstractNumId w:val="29"/>
  </w:num>
  <w:num w:numId="15">
    <w:abstractNumId w:val="7"/>
  </w:num>
  <w:num w:numId="16">
    <w:abstractNumId w:val="25"/>
  </w:num>
  <w:num w:numId="17">
    <w:abstractNumId w:val="22"/>
  </w:num>
  <w:num w:numId="18">
    <w:abstractNumId w:val="42"/>
  </w:num>
  <w:num w:numId="19">
    <w:abstractNumId w:val="38"/>
  </w:num>
  <w:num w:numId="20">
    <w:abstractNumId w:val="21"/>
  </w:num>
  <w:num w:numId="21">
    <w:abstractNumId w:val="37"/>
  </w:num>
  <w:num w:numId="22">
    <w:abstractNumId w:val="8"/>
  </w:num>
  <w:num w:numId="23">
    <w:abstractNumId w:val="20"/>
  </w:num>
  <w:num w:numId="24">
    <w:abstractNumId w:val="24"/>
  </w:num>
  <w:num w:numId="25">
    <w:abstractNumId w:val="19"/>
  </w:num>
  <w:num w:numId="26">
    <w:abstractNumId w:val="26"/>
  </w:num>
  <w:num w:numId="27">
    <w:abstractNumId w:val="2"/>
  </w:num>
  <w:num w:numId="28">
    <w:abstractNumId w:val="3"/>
  </w:num>
  <w:num w:numId="29">
    <w:abstractNumId w:val="11"/>
  </w:num>
  <w:num w:numId="30">
    <w:abstractNumId w:val="4"/>
  </w:num>
  <w:num w:numId="31">
    <w:abstractNumId w:val="34"/>
  </w:num>
  <w:num w:numId="32">
    <w:abstractNumId w:val="33"/>
  </w:num>
  <w:num w:numId="33">
    <w:abstractNumId w:val="14"/>
  </w:num>
  <w:num w:numId="34">
    <w:abstractNumId w:val="15"/>
  </w:num>
  <w:num w:numId="35">
    <w:abstractNumId w:val="1"/>
  </w:num>
  <w:num w:numId="36">
    <w:abstractNumId w:val="39"/>
  </w:num>
  <w:num w:numId="37">
    <w:abstractNumId w:val="16"/>
  </w:num>
  <w:num w:numId="38">
    <w:abstractNumId w:val="10"/>
  </w:num>
  <w:num w:numId="39">
    <w:abstractNumId w:val="12"/>
  </w:num>
  <w:num w:numId="40">
    <w:abstractNumId w:val="18"/>
  </w:num>
  <w:num w:numId="41">
    <w:abstractNumId w:val="6"/>
  </w:num>
  <w:num w:numId="42">
    <w:abstractNumId w:val="32"/>
  </w:num>
  <w:num w:numId="43">
    <w:abstractNumId w:val="30"/>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C2D8A"/>
    <w:rsid w:val="000D75E7"/>
    <w:rsid w:val="001045BF"/>
    <w:rsid w:val="00143D4E"/>
    <w:rsid w:val="00236726"/>
    <w:rsid w:val="00244DD7"/>
    <w:rsid w:val="00343C58"/>
    <w:rsid w:val="00373F2F"/>
    <w:rsid w:val="004858BA"/>
    <w:rsid w:val="00524765"/>
    <w:rsid w:val="005275A5"/>
    <w:rsid w:val="005307D9"/>
    <w:rsid w:val="00623E53"/>
    <w:rsid w:val="00632BC7"/>
    <w:rsid w:val="00633E55"/>
    <w:rsid w:val="006A3F56"/>
    <w:rsid w:val="006C1616"/>
    <w:rsid w:val="00753743"/>
    <w:rsid w:val="007B7482"/>
    <w:rsid w:val="007E6AD1"/>
    <w:rsid w:val="008B5E62"/>
    <w:rsid w:val="008B6902"/>
    <w:rsid w:val="00914AD0"/>
    <w:rsid w:val="009D3B04"/>
    <w:rsid w:val="00A0083B"/>
    <w:rsid w:val="00A728D1"/>
    <w:rsid w:val="00AD67E4"/>
    <w:rsid w:val="00B3659A"/>
    <w:rsid w:val="00BA4286"/>
    <w:rsid w:val="00C6185F"/>
    <w:rsid w:val="00C83808"/>
    <w:rsid w:val="00C94571"/>
    <w:rsid w:val="00CC116E"/>
    <w:rsid w:val="00CD6BED"/>
    <w:rsid w:val="00D15C96"/>
    <w:rsid w:val="00D40E14"/>
    <w:rsid w:val="00D97B5F"/>
    <w:rsid w:val="00E50269"/>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88A08-A688-4B6D-8368-D62ACA30C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1653</Words>
  <Characters>9092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10724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2015-08-20T17:29:00Z</dcterms:created>
  <dcterms:modified xsi:type="dcterms:W3CDTF">2015-08-20T17:29:00Z</dcterms:modified>
</cp:coreProperties>
</file>